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Aerospace Engineering Services — Argentina Córdoba Region</w:t>
      </w:r>
    </w:p>
    <w:p>
      <w:pPr>
        <w:pStyle w:val="BodyText"/>
      </w:pPr>
      <w:r>
        <w:t xml:space="preserve">Document Ref: QE-ARG-CBA-2025-0417 | Issued by: Andes Aerospace Consulting S.R.L.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QE-ARG-CBA-2025-0417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Argentine Peso (ARS) / US Dollar (USD)</w:t>
            </w:r>
          </w:p>
        </w:tc>
      </w:tr>
      <w:tr>
        <w:tc>
          <w:tcPr/>
          <w:p>
            <w:pPr>
              <w:pStyle w:val="Compact"/>
              <w:jc w:val="left"/>
            </w:pPr>
            <w:r>
              <w:t xml:space="preserve">Service Location</w:t>
            </w:r>
          </w:p>
        </w:tc>
        <w:tc>
          <w:tcPr>
            <w:gridSpan w:val="3"/>
          </w:tcPr>
          <w:p>
            <w:pPr>
              <w:pStyle w:val="Compact"/>
              <w:jc w:val="left"/>
            </w:pPr>
            <w:r>
              <w:t xml:space="preserve">Argentina Córdoba — Industrial Zone, Ruta Nacional 9, Km 735, Córdoba Province</w:t>
            </w:r>
          </w:p>
        </w:tc>
      </w:tr>
      <w:tr>
        <w:tc>
          <w:tcPr/>
          <w:p>
            <w:pPr>
              <w:pStyle w:val="Compact"/>
              <w:jc w:val="left"/>
            </w:pPr>
            <w:r>
              <w:t xml:space="preserve">Prepared For</w:t>
            </w:r>
          </w:p>
        </w:tc>
        <w:tc>
          <w:tcPr/>
          <w:p>
            <w:pPr>
              <w:pStyle w:val="Compact"/>
              <w:jc w:val="left"/>
            </w:pPr>
            <w:r>
              <w:t xml:space="preserve">Ing. María Elena Sánchez, Director of Engineering — Córdoba Aerospace Development Center</w:t>
            </w:r>
          </w:p>
        </w:tc>
        <w:tc>
          <w:tcPr/>
          <w:p>
            <w:pPr>
              <w:pStyle w:val="Compact"/>
              <w:jc w:val="left"/>
            </w:pPr>
            <w:r>
              <w:t xml:space="preserve">Prepared By</w:t>
            </w:r>
          </w:p>
        </w:tc>
        <w:tc>
          <w:tcPr/>
          <w:p>
            <w:pPr>
              <w:pStyle w:val="Compact"/>
              <w:jc w:val="left"/>
            </w:pPr>
            <w:r>
              <w:t xml:space="preserve">Ing. Ricardo F. Almirón, Lead Aerospace Engineer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Andes Aerospace Consulting S.R.L. to provide a comprehensive cost breakdown for the engagement of a senior</w:t>
      </w:r>
      <w:r>
        <w:t xml:space="preserve"> </w:t>
      </w:r>
      <w:r>
        <w:t xml:space="preserve">Aerospace Engineer</w:t>
      </w:r>
      <w:r>
        <w:t xml:space="preserve"> </w:t>
      </w:r>
      <w:r>
        <w:t xml:space="preserve">to deliver specialized technical services within the</w:t>
      </w:r>
      <w:r>
        <w:t xml:space="preserve"> </w:t>
      </w:r>
      <w:r>
        <w:t xml:space="preserve">Argentina Córdoba</w:t>
      </w:r>
      <w:r>
        <w:t xml:space="preserve"> </w:t>
      </w:r>
      <w:r>
        <w:t xml:space="preserve">metropolitan and industrial corridor. The services outlined herein are intended to support the Córdoba Aerospace Development Center in the design validation, structural analysis, and systems integration of next-generation unmanned aerial vehicle (UAV) platforms currently under development at their facilities in Córdoba Province.</w:t>
      </w:r>
    </w:p>
    <w:p>
      <w:pPr>
        <w:pStyle w:val="BodyText"/>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operate primarily from the client’s premises in</w:t>
      </w:r>
      <w:r>
        <w:t xml:space="preserve"> </w:t>
      </w:r>
      <w:r>
        <w:t xml:space="preserve">Argentina Córdoba</w:t>
      </w:r>
      <w:r>
        <w:t xml:space="preserve">, with the possibility of limited travel to complementary test sites within a 150-kilometer radius of the city center. All deliverables, progress reports, and technical documentation shall be produced in accordance with the project specifications agreed upon in the master services contract and shall comply with the regulatory framework established by the Argentine National Aeronautics and Space Agency (CONAE) and applicable ICAO standards.</w:t>
      </w:r>
    </w:p>
    <w:bookmarkEnd w:id="21"/>
    <w:bookmarkStart w:id="22" w:name="X249593ac5495917166025c0b60b01a7ad19e21c"/>
    <w:p>
      <w:pPr>
        <w:pStyle w:val="Heading2"/>
      </w:pPr>
      <w:r>
        <w:t xml:space="preserve">2. Detailed Line Items — Aerospace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Aerospace Engineer — Structural Design &amp; FEA Analysis:</w:t>
            </w:r>
            <w:r>
              <w:t xml:space="preserve"> </w:t>
            </w:r>
            <w:r>
              <w:t xml:space="preserve">Full finite element analysis of composite airframe components for the CBA-7 UAV platform. Includes CAD modeling, load-case definition, stress/strain simulation, and margin-of-safety reporting. Delivered as a complete engineering package suitable for CONAE certification review in</w:t>
            </w:r>
            <w:r>
              <w:t xml:space="preserve"> </w:t>
            </w:r>
            <w:r>
              <w:t xml:space="preserve">Argentina Córdoba</w:t>
            </w:r>
            <w:r>
              <w:t xml:space="preserve">.</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ARS 24,420,000</w:t>
            </w:r>
          </w:p>
        </w:tc>
      </w:tr>
      <w:tr>
        <w:tc>
          <w:tcPr/>
          <w:p>
            <w:pPr>
              <w:pStyle w:val="Compact"/>
              <w:jc w:val="left"/>
            </w:pPr>
            <w:r>
              <w:t xml:space="preserve">2</w:t>
            </w:r>
          </w:p>
        </w:tc>
        <w:tc>
          <w:tcPr/>
          <w:p>
            <w:pPr>
              <w:pStyle w:val="Compact"/>
              <w:jc w:val="left"/>
            </w:pPr>
            <w:r>
              <w:rPr>
                <w:bCs/>
                <w:b/>
              </w:rPr>
              <w:t xml:space="preserve">Aerospace Engineer — Propulsion Systems Integration:</w:t>
            </w:r>
            <w:r>
              <w:t xml:space="preserve"> </w:t>
            </w:r>
            <w:r>
              <w:t xml:space="preserve">Review and optimization of the hybrid-electric propulsion architecture. Includes thermal analysis, fuel-system sizing, and integration interface documentation. On-site work at the</w:t>
            </w:r>
            <w:r>
              <w:t xml:space="preserve"> </w:t>
            </w:r>
            <w:r>
              <w:t xml:space="preserve">Argentina Córdoba</w:t>
            </w:r>
            <w:r>
              <w:t xml:space="preserve"> </w:t>
            </w:r>
            <w:r>
              <w:t xml:space="preserve">test facility.</w:t>
            </w:r>
          </w:p>
        </w:tc>
        <w:tc>
          <w:tcPr/>
          <w:p>
            <w:pPr>
              <w:pStyle w:val="Compact"/>
              <w:jc w:val="left"/>
            </w:pPr>
            <w:r>
              <w:t xml:space="preserve">80 hours</w:t>
            </w:r>
          </w:p>
        </w:tc>
        <w:tc>
          <w:tcPr/>
          <w:p>
            <w:pPr>
              <w:pStyle w:val="Compact"/>
              <w:jc w:val="left"/>
            </w:pPr>
            <w:r>
              <w:t xml:space="preserve">$195.00</w:t>
            </w:r>
          </w:p>
        </w:tc>
        <w:tc>
          <w:tcPr/>
          <w:p>
            <w:pPr>
              <w:pStyle w:val="Compact"/>
              <w:jc w:val="left"/>
            </w:pPr>
            <w:r>
              <w:t xml:space="preserve">$15,600.00</w:t>
            </w:r>
          </w:p>
        </w:tc>
        <w:tc>
          <w:tcPr/>
          <w:p>
            <w:pPr>
              <w:pStyle w:val="Compact"/>
              <w:jc w:val="left"/>
            </w:pPr>
            <w:r>
              <w:t xml:space="preserve">ARS 17,160,000</w:t>
            </w:r>
          </w:p>
        </w:tc>
      </w:tr>
      <w:tr>
        <w:tc>
          <w:tcPr/>
          <w:p>
            <w:pPr>
              <w:pStyle w:val="Compact"/>
              <w:jc w:val="left"/>
            </w:pPr>
            <w:r>
              <w:t xml:space="preserve">3</w:t>
            </w:r>
          </w:p>
        </w:tc>
        <w:tc>
          <w:tcPr/>
          <w:p>
            <w:pPr>
              <w:pStyle w:val="Compact"/>
              <w:jc w:val="left"/>
            </w:pPr>
            <w:r>
              <w:rPr>
                <w:bCs/>
                <w:b/>
              </w:rPr>
              <w:t xml:space="preserve">Aerospace Engineer — Flight Dynamics &amp; Control Law Development:</w:t>
            </w:r>
            <w:r>
              <w:t xml:space="preserve"> </w:t>
            </w:r>
            <w:r>
              <w:t xml:space="preserve">Development of the flight control law for the CBA-7 platform. Includes mathematical modeling, simulation in MATLAB/Simulink, and ground-test validation support. All documentation to be archived at the Córdoba Aerospace Development Center.</w:t>
            </w:r>
          </w:p>
        </w:tc>
        <w:tc>
          <w:tcPr/>
          <w:p>
            <w:pPr>
              <w:pStyle w:val="Compact"/>
              <w:jc w:val="left"/>
            </w:pPr>
            <w:r>
              <w:t xml:space="preserve">100 hours</w:t>
            </w:r>
          </w:p>
        </w:tc>
        <w:tc>
          <w:tcPr/>
          <w:p>
            <w:pPr>
              <w:pStyle w:val="Compact"/>
              <w:jc w:val="left"/>
            </w:pPr>
            <w:r>
              <w:t xml:space="preserve">$200.00</w:t>
            </w:r>
          </w:p>
        </w:tc>
        <w:tc>
          <w:tcPr/>
          <w:p>
            <w:pPr>
              <w:pStyle w:val="Compact"/>
              <w:jc w:val="left"/>
            </w:pPr>
            <w:r>
              <w:t xml:space="preserve">$20,000.00</w:t>
            </w:r>
          </w:p>
        </w:tc>
        <w:tc>
          <w:tcPr/>
          <w:p>
            <w:pPr>
              <w:pStyle w:val="Compact"/>
              <w:jc w:val="left"/>
            </w:pPr>
            <w:r>
              <w:t xml:space="preserve">ARS 22,000,000</w:t>
            </w:r>
          </w:p>
        </w:tc>
      </w:tr>
      <w:tr>
        <w:tc>
          <w:tcPr/>
          <w:p>
            <w:pPr>
              <w:pStyle w:val="Compact"/>
              <w:jc w:val="left"/>
            </w:pPr>
            <w:r>
              <w:t xml:space="preserve">4</w:t>
            </w:r>
          </w:p>
        </w:tc>
        <w:tc>
          <w:tcPr/>
          <w:p>
            <w:pPr>
              <w:pStyle w:val="Compact"/>
              <w:jc w:val="left"/>
            </w:pPr>
            <w:r>
              <w:rPr>
                <w:bCs/>
                <w:b/>
              </w:rPr>
              <w:t xml:space="preserve">Aerospace Engineer — Regulatory Compliance &amp; Certification Support:</w:t>
            </w:r>
            <w:r>
              <w:t xml:space="preserve"> </w:t>
            </w:r>
            <w:r>
              <w:t xml:space="preserve">Preparation of technical dossiers for CONAE type-certification. Includes airworthiness assessment, safety-case documentation, and liaison with Argentine aviation authorities in</w:t>
            </w:r>
            <w:r>
              <w:t xml:space="preserve"> </w:t>
            </w:r>
            <w:r>
              <w:t xml:space="preserve">Argentina Córdoba</w:t>
            </w:r>
            <w:r>
              <w:t xml:space="preserve"> </w:t>
            </w:r>
            <w:r>
              <w:t xml:space="preserve">and Buenos Aires.</w:t>
            </w:r>
          </w:p>
        </w:tc>
        <w:tc>
          <w:tcPr/>
          <w:p>
            <w:pPr>
              <w:pStyle w:val="Compact"/>
              <w:jc w:val="left"/>
            </w:pPr>
            <w:r>
              <w:t xml:space="preserve">60 hours</w:t>
            </w:r>
          </w:p>
        </w:tc>
        <w:tc>
          <w:tcPr/>
          <w:p>
            <w:pPr>
              <w:pStyle w:val="Compact"/>
              <w:jc w:val="left"/>
            </w:pPr>
            <w:r>
              <w:t xml:space="preserve">$210.00</w:t>
            </w:r>
          </w:p>
        </w:tc>
        <w:tc>
          <w:tcPr/>
          <w:p>
            <w:pPr>
              <w:pStyle w:val="Compact"/>
              <w:jc w:val="left"/>
            </w:pPr>
            <w:r>
              <w:t xml:space="preserve">$12,600.00</w:t>
            </w:r>
          </w:p>
        </w:tc>
        <w:tc>
          <w:tcPr/>
          <w:p>
            <w:pPr>
              <w:pStyle w:val="Compact"/>
              <w:jc w:val="left"/>
            </w:pPr>
            <w:r>
              <w:t xml:space="preserve">ARS 13,860,000</w:t>
            </w:r>
          </w:p>
        </w:tc>
      </w:tr>
      <w:tr>
        <w:tc>
          <w:tcPr/>
          <w:p>
            <w:pPr>
              <w:pStyle w:val="Compact"/>
              <w:jc w:val="left"/>
            </w:pPr>
            <w:r>
              <w:t xml:space="preserve">5</w:t>
            </w:r>
          </w:p>
        </w:tc>
        <w:tc>
          <w:tcPr/>
          <w:p>
            <w:pPr>
              <w:pStyle w:val="Compact"/>
              <w:jc w:val="left"/>
            </w:pPr>
            <w:r>
              <w:rPr>
                <w:bCs/>
                <w:b/>
              </w:rPr>
              <w:t xml:space="preserve">Aerospace Engineer — On-Site Supervision &amp; Test Campaign:</w:t>
            </w:r>
            <w:r>
              <w:t xml:space="preserve"> </w:t>
            </w:r>
            <w:r>
              <w:t xml:space="preserve">Physical presence at the</w:t>
            </w:r>
            <w:r>
              <w:t xml:space="preserve"> </w:t>
            </w:r>
            <w:r>
              <w:t xml:space="preserve">Argentina Córdoba</w:t>
            </w:r>
            <w:r>
              <w:t xml:space="preserve"> </w:t>
            </w:r>
            <w:r>
              <w:t xml:space="preserve">proving ground for a minimum of 10 consecutive days during the integrated flight-test campaign. Includes real-time telemetry monitoring, anomaly resolution, and post-flight data analysis.</w:t>
            </w:r>
          </w:p>
        </w:tc>
        <w:tc>
          <w:tcPr/>
          <w:p>
            <w:pPr>
              <w:pStyle w:val="Compact"/>
              <w:jc w:val="left"/>
            </w:pPr>
            <w:r>
              <w:t xml:space="preserve">10 days</w:t>
            </w:r>
          </w:p>
        </w:tc>
        <w:tc>
          <w:tcPr/>
          <w:p>
            <w:pPr>
              <w:pStyle w:val="Compact"/>
              <w:jc w:val="left"/>
            </w:pPr>
            <w:r>
              <w:t xml:space="preserve">$1,200.00/day</w:t>
            </w:r>
          </w:p>
        </w:tc>
        <w:tc>
          <w:tcPr/>
          <w:p>
            <w:pPr>
              <w:pStyle w:val="Compact"/>
              <w:jc w:val="left"/>
            </w:pPr>
            <w:r>
              <w:t xml:space="preserve">$12,000.00</w:t>
            </w:r>
          </w:p>
        </w:tc>
        <w:tc>
          <w:tcPr/>
          <w:p>
            <w:pPr>
              <w:pStyle w:val="Compact"/>
              <w:jc w:val="left"/>
            </w:pPr>
            <w:r>
              <w:t xml:space="preserve">ARS 13,200,000</w:t>
            </w:r>
          </w:p>
        </w:tc>
      </w:tr>
      <w:tr>
        <w:tc>
          <w:tcPr/>
          <w:p>
            <w:pPr>
              <w:pStyle w:val="Compact"/>
              <w:jc w:val="left"/>
            </w:pPr>
            <w:r>
              <w:t xml:space="preserve">6</w:t>
            </w:r>
          </w:p>
        </w:tc>
        <w:tc>
          <w:tcPr/>
          <w:p>
            <w:pPr>
              <w:pStyle w:val="Compact"/>
              <w:jc w:val="left"/>
            </w:pPr>
            <w:r>
              <w:rPr>
                <w:bCs/>
                <w:b/>
              </w:rPr>
              <w:t xml:space="preserve">Travel, Accommodation &amp; Per Diem (Argentina Córdoba):</w:t>
            </w:r>
            <w:r>
              <w:t xml:space="preserve"> </w:t>
            </w:r>
            <w:r>
              <w:t xml:space="preserve">Round-trip airfare to Córdoba (Aeroparque → Córdoba), hotel accommodation (4-star, single occupancy) for 12 nights, and daily per diem for meals and local transport within the</w:t>
            </w:r>
            <w:r>
              <w:t xml:space="preserve"> </w:t>
            </w:r>
            <w:r>
              <w:t xml:space="preserve">Argentina Córdoba</w:t>
            </w:r>
            <w:r>
              <w:t xml:space="preserve"> </w:t>
            </w:r>
            <w:r>
              <w:t xml:space="preserve">metropolitan area.</w:t>
            </w:r>
          </w:p>
        </w:tc>
        <w:tc>
          <w:tcPr/>
          <w:p>
            <w:pPr>
              <w:pStyle w:val="Compact"/>
              <w:jc w:val="left"/>
            </w:pPr>
            <w:r>
              <w:t xml:space="preserve">12 days</w:t>
            </w:r>
          </w:p>
        </w:tc>
        <w:tc>
          <w:tcPr/>
          <w:p>
            <w:pPr>
              <w:pStyle w:val="Compact"/>
              <w:jc w:val="left"/>
            </w:pPr>
            <w:r>
              <w:t xml:space="preserve">$350.00/day</w:t>
            </w:r>
          </w:p>
        </w:tc>
        <w:tc>
          <w:tcPr/>
          <w:p>
            <w:pPr>
              <w:pStyle w:val="Compact"/>
              <w:jc w:val="left"/>
            </w:pPr>
            <w:r>
              <w:t xml:space="preserve">$4,200.00</w:t>
            </w:r>
          </w:p>
        </w:tc>
        <w:tc>
          <w:tcPr/>
          <w:p>
            <w:pPr>
              <w:pStyle w:val="Compact"/>
              <w:jc w:val="left"/>
            </w:pPr>
            <w:r>
              <w:t xml:space="preserve">ARS 4,620,000</w:t>
            </w:r>
          </w:p>
        </w:tc>
      </w:tr>
      <w:tr>
        <w:tc>
          <w:tcPr/>
          <w:p>
            <w:pPr>
              <w:pStyle w:val="Compact"/>
              <w:jc w:val="left"/>
            </w:pPr>
            <w:r>
              <w:t xml:space="preserve">7</w:t>
            </w:r>
          </w:p>
        </w:tc>
        <w:tc>
          <w:tcPr/>
          <w:p>
            <w:pPr>
              <w:pStyle w:val="Compact"/>
              <w:jc w:val="left"/>
            </w:pPr>
            <w:r>
              <w:rPr>
                <w:bCs/>
                <w:b/>
              </w:rPr>
              <w:t xml:space="preserve">Software Licenses &amp; Computational Resources:</w:t>
            </w:r>
            <w:r>
              <w:t xml:space="preserve"> </w:t>
            </w:r>
            <w:r>
              <w:t xml:space="preserve">Temporary licensing of ANSYS Mechanical, MATLAB, and Simulink for the duration of the engagement. Includes cloud-computing allocation for high-fidelity FEA runs.</w:t>
            </w:r>
          </w:p>
        </w:tc>
        <w:tc>
          <w:tcPr/>
          <w:p>
            <w:pPr>
              <w:pStyle w:val="Compact"/>
              <w:jc w:val="left"/>
            </w:pPr>
            <w:r>
              <w:t xml:space="preserve">3 months</w:t>
            </w:r>
          </w:p>
        </w:tc>
        <w:tc>
          <w:tcPr/>
          <w:p>
            <w:pPr>
              <w:pStyle w:val="Compact"/>
              <w:jc w:val="left"/>
            </w:pPr>
            <w:r>
              <w:t xml:space="preserve">$1,500.00/mo</w:t>
            </w:r>
          </w:p>
        </w:tc>
        <w:tc>
          <w:tcPr/>
          <w:p>
            <w:pPr>
              <w:pStyle w:val="Compact"/>
              <w:jc w:val="left"/>
            </w:pPr>
            <w:r>
              <w:t xml:space="preserve">$4,500.00</w:t>
            </w:r>
          </w:p>
        </w:tc>
        <w:tc>
          <w:tcPr/>
          <w:p>
            <w:pPr>
              <w:pStyle w:val="Compact"/>
              <w:jc w:val="left"/>
            </w:pPr>
            <w:r>
              <w:t xml:space="preserve">ARS 4,950,000</w:t>
            </w:r>
          </w:p>
        </w:tc>
      </w:tr>
      <w:tr>
        <w:tc>
          <w:tcPr>
            <w:gridSpan w:val="4"/>
          </w:tcPr>
          <w:p>
            <w:pPr>
              <w:pStyle w:val="Compact"/>
              <w:jc w:val="right"/>
            </w:pPr>
            <w:r>
              <w:t xml:space="preserve">TOTAL ESTIMATED COST</w:t>
            </w:r>
          </w:p>
        </w:tc>
        <w:tc>
          <w:tcPr/>
          <w:p>
            <w:pPr>
              <w:pStyle w:val="Compact"/>
              <w:jc w:val="left"/>
            </w:pPr>
            <w:r>
              <w:t xml:space="preserve">$91,100.00</w:t>
            </w:r>
          </w:p>
        </w:tc>
        <w:tc>
          <w:tcPr/>
          <w:p>
            <w:pPr>
              <w:pStyle w:val="Compact"/>
              <w:jc w:val="left"/>
            </w:pPr>
            <w:r>
              <w:t xml:space="preserve">ARS 100,210,000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thirty (30) calendar days from the date of issue. Should the client wish to proceed after the expiry date, a revised</w:t>
      </w:r>
      <w:r>
        <w:t xml:space="preserve"> </w:t>
      </w:r>
      <w:r>
        <w:t xml:space="preserve">Quotation Estimate</w:t>
      </w:r>
      <w:r>
        <w:t xml:space="preserve"> </w:t>
      </w:r>
      <w:r>
        <w:t xml:space="preserve">reflecting current market rates and exchange conditions in</w:t>
      </w:r>
      <w:r>
        <w:t xml:space="preserve"> </w:t>
      </w:r>
      <w:r>
        <w:t xml:space="preserve">Argentina Córdoba</w:t>
      </w:r>
      <w:r>
        <w:t xml:space="preserve"> </w:t>
      </w:r>
      <w:r>
        <w:t xml:space="preserve">shall be issued.</w:t>
      </w:r>
    </w:p>
    <w:p>
      <w:pPr>
        <w:pStyle w:val="BodyText"/>
      </w:pPr>
      <w:r>
        <w:rPr>
          <w:bCs/>
          <w:b/>
        </w:rPr>
        <w:t xml:space="preserve">3.2 Payment Schedule.</w:t>
      </w:r>
      <w:r>
        <w:t xml:space="preserve"> </w:t>
      </w:r>
      <w:r>
        <w:t xml:space="preserve">Payment shall be structured as follows: 30% advance upon execution of the master services agreement; 40% upon delivery of the structural and propulsion analysis packages; 30% upon successful completion of the flight-test campaign in</w:t>
      </w:r>
      <w:r>
        <w:t xml:space="preserve"> </w:t>
      </w:r>
      <w:r>
        <w:t xml:space="preserve">Argentina Córdoba</w:t>
      </w:r>
      <w:r>
        <w:t xml:space="preserve">. All payments in USD shall be settled via international wire transfer to the account designated by Andes Aerospace Consulting S.R.L.</w:t>
      </w:r>
    </w:p>
    <w:p>
      <w:pPr>
        <w:pStyle w:val="BodyText"/>
      </w:pPr>
      <w:r>
        <w:rPr>
          <w:bCs/>
          <w:b/>
        </w:rPr>
        <w:t xml:space="preserve">3.3 Scope Changes.</w:t>
      </w:r>
      <w:r>
        <w:t xml:space="preserve"> </w:t>
      </w:r>
      <w:r>
        <w:t xml:space="preserve">Any modification to the scope of work beyond the services described in this</w:t>
      </w:r>
      <w:r>
        <w:t xml:space="preserve"> </w:t>
      </w:r>
      <w:r>
        <w:t xml:space="preserve">Quotation Estimate</w:t>
      </w:r>
      <w:r>
        <w:t xml:space="preserve"> </w:t>
      </w:r>
      <w:r>
        <w:t xml:space="preserve">shall require a written change order signed by both parties. The</w:t>
      </w:r>
      <w:r>
        <w:t xml:space="preserve"> </w:t>
      </w:r>
      <w:r>
        <w:t xml:space="preserve">Aerospace Engineer</w:t>
      </w:r>
      <w:r>
        <w:t xml:space="preserve"> </w:t>
      </w:r>
      <w:r>
        <w:t xml:space="preserve">shall provide a supplemental cost estimate within five (5) business days of receiving a change request.</w:t>
      </w:r>
    </w:p>
    <w:p>
      <w:pPr>
        <w:pStyle w:val="BodyText"/>
      </w:pPr>
      <w:r>
        <w:rPr>
          <w:bCs/>
          <w:b/>
        </w:rPr>
        <w:t xml:space="preserve">3.4 Intellectual Property.</w:t>
      </w:r>
      <w:r>
        <w:t xml:space="preserve"> </w:t>
      </w:r>
      <w:r>
        <w:t xml:space="preserve">All engineering deliverables, models, analyses, and documentation produced by the</w:t>
      </w:r>
      <w:r>
        <w:t xml:space="preserve"> </w:t>
      </w:r>
      <w:r>
        <w:t xml:space="preserve">Aerospace Engineer</w:t>
      </w:r>
      <w:r>
        <w:t xml:space="preserve"> </w:t>
      </w:r>
      <w:r>
        <w:t xml:space="preserve">under this engagement shall become the exclusive property of the Córdoba Aerospace Development Center upon full payment. The</w:t>
      </w:r>
      <w:r>
        <w:t xml:space="preserve"> </w:t>
      </w:r>
      <w:r>
        <w:t xml:space="preserve">Aerospace Engineer</w:t>
      </w:r>
      <w:r>
        <w:t xml:space="preserve"> </w:t>
      </w:r>
      <w:r>
        <w:t xml:space="preserve">retains the right to reference the project in professional portfolios with prior written consent.</w:t>
      </w:r>
    </w:p>
    <w:p>
      <w:pPr>
        <w:pStyle w:val="BodyText"/>
      </w:pPr>
      <w:r>
        <w:rPr>
          <w:bCs/>
          <w:b/>
        </w:rPr>
        <w:t xml:space="preserve">3.5 Confidentiality.</w:t>
      </w:r>
      <w:r>
        <w:t xml:space="preserve"> </w:t>
      </w:r>
      <w:r>
        <w:t xml:space="preserve">Both parties agree to maintain strict confidentiality regarding all technical data, proprietary designs, and operational details associated with the CBA-7 platform. This obligation shall survive the termination of this</w:t>
      </w:r>
      <w:r>
        <w:t xml:space="preserve"> </w:t>
      </w:r>
      <w:r>
        <w:t xml:space="preserve">Quotation Estimate</w:t>
      </w:r>
      <w:r>
        <w:t xml:space="preserve"> </w:t>
      </w:r>
      <w:r>
        <w:t xml:space="preserve">and any resulting contract for a period of five (5) years.</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resulting agreement shall be governed by the laws of the Province of Córdoba,</w:t>
      </w:r>
      <w:r>
        <w:t xml:space="preserve"> </w:t>
      </w:r>
      <w:r>
        <w:t xml:space="preserve">Argentina</w:t>
      </w:r>
      <w:r>
        <w:t xml:space="preserve">. Any disputes shall be resolved through arbitration in</w:t>
      </w:r>
      <w:r>
        <w:t xml:space="preserve"> </w:t>
      </w:r>
      <w:r>
        <w:t xml:space="preserve">Argentina Córdoba</w:t>
      </w:r>
      <w:r>
        <w:t xml:space="preserve"> </w:t>
      </w:r>
      <w:r>
        <w:t xml:space="preserve">in accordance with the rules of the Argentine Chamber of Commerce.</w:t>
      </w:r>
    </w:p>
    <w:p>
      <w:pPr>
        <w:pStyle w:val="BodyText"/>
      </w:pPr>
      <w:r>
        <w:rPr>
          <w:bCs/>
          <w:b/>
        </w:rPr>
        <w:t xml:space="preserve">3.7 Force Majeure.</w:t>
      </w:r>
      <w:r>
        <w:t xml:space="preserve"> </w:t>
      </w:r>
      <w:r>
        <w:t xml:space="preserve">Neither party shall be liable for delays or non-performance resulting from events beyond reasonable control, including but not limited to natural disasters, government sanctions, or aviation regulatory changes affecting operations in</w:t>
      </w:r>
      <w:r>
        <w:t xml:space="preserve"> </w:t>
      </w:r>
      <w:r>
        <w:t xml:space="preserve">Argentina Córdoba</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Andes Aerospace Consulting S.R.L. to proceed with the engagement of the designated</w:t>
      </w:r>
      <w:r>
        <w:t xml:space="preserve"> </w:t>
      </w:r>
      <w:r>
        <w:t xml:space="preserve">Aerospace Engineer</w:t>
      </w:r>
      <w:r>
        <w:t xml:space="preserve"> </w:t>
      </w:r>
      <w:r>
        <w:t xml:space="preserve">for the services described herein, to be executed at the client’s facility in</w:t>
      </w:r>
      <w:r>
        <w:t xml:space="preserve"> </w:t>
      </w:r>
      <w:r>
        <w:t xml:space="preserve">Argentina Córdoba</w:t>
      </w:r>
      <w:r>
        <w:t xml:space="preserve">.</w:t>
      </w:r>
    </w:p>
    <w:p>
      <w:pPr>
        <w:pStyle w:val="BodyText"/>
      </w:pPr>
      <w:r>
        <w:rPr>
          <w:bCs/>
          <w:b/>
        </w:rPr>
        <w:t xml:space="preserve">For Andes Aerospace Consulting S.R.L.</w:t>
      </w:r>
    </w:p>
    <w:p>
      <w:pPr>
        <w:pStyle w:val="BodyText"/>
      </w:pPr>
      <w:r>
        <w:t xml:space="preserve">Ing. Ricardo F. Almirón</w:t>
      </w:r>
    </w:p>
    <w:p>
      <w:pPr>
        <w:pStyle w:val="BodyText"/>
      </w:pPr>
      <w:r>
        <w:t xml:space="preserve">Lead Aerospace Engineer</w:t>
      </w:r>
    </w:p>
    <w:p>
      <w:pPr>
        <w:pStyle w:val="BodyText"/>
      </w:pPr>
      <w:r>
        <w:t xml:space="preserve">Signature &amp; Date</w:t>
      </w:r>
    </w:p>
    <w:p>
      <w:pPr>
        <w:pStyle w:val="BodyText"/>
      </w:pPr>
      <w:r>
        <w:rPr>
          <w:bCs/>
          <w:b/>
        </w:rPr>
        <w:t xml:space="preserve">For Córdoba Aerospace Development Center</w:t>
      </w:r>
    </w:p>
    <w:p>
      <w:pPr>
        <w:pStyle w:val="BodyText"/>
      </w:pPr>
      <w:r>
        <w:t xml:space="preserve">Ing. María Elena Sánchez</w:t>
      </w:r>
    </w:p>
    <w:p>
      <w:pPr>
        <w:pStyle w:val="BodyText"/>
      </w:pPr>
      <w:r>
        <w:t xml:space="preserve">Director of Engineering</w:t>
      </w:r>
    </w:p>
    <w:p>
      <w:pPr>
        <w:pStyle w:val="BodyText"/>
      </w:pPr>
      <w:r>
        <w:t xml:space="preserve">Signature &amp; Date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intended solely for budgetary planning purposes. It does not constitute a contractual obligation until a formal Master Services Agreement is executed by both parties. Exchange rates used for ARS conversion are based on the official BCRA rate as of 14 June 2025. All services are to be performed in compliance with Argentine labor regulations applicable to the</w:t>
      </w:r>
      <w:r>
        <w:t xml:space="preserve"> </w:t>
      </w:r>
      <w:r>
        <w:t xml:space="preserve">Argentina Córdoba</w:t>
      </w:r>
      <w:r>
        <w:t xml:space="preserve"> </w:t>
      </w:r>
      <w:r>
        <w:t xml:space="preserve">jurisdiction. The</w:t>
      </w:r>
      <w:r>
        <w:t xml:space="preserve"> </w:t>
      </w:r>
      <w:r>
        <w:t xml:space="preserve">Aerospace Engineer</w:t>
      </w:r>
      <w:r>
        <w:t xml:space="preserve"> </w:t>
      </w:r>
      <w:r>
        <w:t xml:space="preserve">named in this document holds a valid professional license (Matrícula Nº 48.217) issued by the Córdoba Professional Engineers Association (Círculo de Ingenieros de Córdoba).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Argentina Córdoba</dc:title>
  <dc:creator/>
  <dc:language>en</dc:language>
  <cp:keywords/>
  <dcterms:created xsi:type="dcterms:W3CDTF">2026-10-10T01:55:39Z</dcterms:created>
  <dcterms:modified xsi:type="dcterms:W3CDTF">2026-10-10T01:55:39Z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