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Belgium</w:t>
      </w:r>
      <w:r>
        <w:t xml:space="preserve"> </w:t>
      </w:r>
      <w:r>
        <w:t xml:space="preserve">Brussels</w:t>
      </w:r>
    </w:p>
    <w:bookmarkStart w:id="20" w:name="aerotech-consulting-bv"/>
    <w:p>
      <w:pPr>
        <w:pStyle w:val="Heading1"/>
      </w:pPr>
      <w:r>
        <w:t xml:space="preserve">AeroTech Consulting BV</w:t>
      </w:r>
    </w:p>
    <w:p>
      <w:pPr>
        <w:pStyle w:val="FirstParagraph"/>
      </w:pPr>
      <w:r>
        <w:t xml:space="preserve">Rue de la Loi 142, 1040 Brussels, Belgium</w:t>
      </w:r>
    </w:p>
    <w:p>
      <w:pPr>
        <w:pStyle w:val="BodyText"/>
      </w:pPr>
      <w:r>
        <w:t xml:space="preserve">VAT: BE 0765.432.109</w:t>
      </w:r>
    </w:p>
    <w:p>
      <w:pPr>
        <w:pStyle w:val="BodyText"/>
      </w:pPr>
      <w:r>
        <w:t xml:space="preserve">Phone: +32 2 555 0142 | Email: quotes@aerotech-consulting.be</w:t>
      </w:r>
    </w:p>
    <w:bookmarkEnd w:id="20"/>
    <w:p>
      <w:pPr>
        <w:pStyle w:val="BodyText"/>
      </w:pPr>
      <w:r>
        <w:rPr>
          <w:bCs/>
          <w:b/>
        </w:rPr>
        <w:t xml:space="preserve">Quotation Estimate No.:</w:t>
      </w:r>
      <w:r>
        <w:t xml:space="preserve"> </w:t>
      </w:r>
      <w:r>
        <w:t xml:space="preserve">QTE-2025-BRU-0487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bookmarkStart w:id="21" w:name="quotation-estimate"/>
    <w:p>
      <w:pPr>
        <w:pStyle w:val="Heading2"/>
      </w:pPr>
      <w:r>
        <w:t xml:space="preserve">Quotation Estimate</w:t>
      </w:r>
    </w:p>
    <w:p>
      <w:pPr>
        <w:pStyle w:val="FirstParagraph"/>
      </w:pPr>
      <w:r>
        <w:t xml:space="preserve">Aerospace Engineer Professional Services — Belgium Brussels</w:t>
      </w:r>
    </w:p>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For:</w:t>
            </w:r>
          </w:p>
        </w:tc>
        <w:tc>
          <w:tcPr/>
          <w:p>
            <w:pPr>
              <w:pStyle w:val="Compact"/>
              <w:jc w:val="left"/>
            </w:pPr>
            <w:r>
              <w:t xml:space="preserve">European Aerospace Industries Consortium (EAIC)</w:t>
            </w:r>
          </w:p>
        </w:tc>
      </w:tr>
      <w:tr>
        <w:tc>
          <w:tcPr/>
          <w:p>
            <w:pPr>
              <w:pStyle w:val="Compact"/>
              <w:jc w:val="left"/>
            </w:pPr>
            <w:r>
              <w:t xml:space="preserve">Client Address:</w:t>
            </w:r>
          </w:p>
        </w:tc>
        <w:tc>
          <w:tcPr/>
          <w:p>
            <w:pPr>
              <w:pStyle w:val="Compact"/>
              <w:jc w:val="left"/>
            </w:pPr>
            <w:r>
              <w:t xml:space="preserve">Avenue Louise 450, 1050 Brussels, Belgium</w:t>
            </w:r>
          </w:p>
        </w:tc>
      </w:tr>
      <w:tr>
        <w:tc>
          <w:tcPr/>
          <w:p>
            <w:pPr>
              <w:pStyle w:val="Compact"/>
              <w:jc w:val="left"/>
            </w:pPr>
            <w:r>
              <w:t xml:space="preserve">Project Reference:</w:t>
            </w:r>
          </w:p>
        </w:tc>
        <w:tc>
          <w:tcPr/>
          <w:p>
            <w:pPr>
              <w:pStyle w:val="Compact"/>
              <w:jc w:val="left"/>
            </w:pPr>
            <w:r>
              <w:t xml:space="preserve">EAIC-2025-ATM-0031 — Next-Generation Airframe Structural Analysis</w:t>
            </w:r>
          </w:p>
        </w:tc>
      </w:tr>
      <w:tr>
        <w:tc>
          <w:tcPr/>
          <w:p>
            <w:pPr>
              <w:pStyle w:val="Compact"/>
              <w:jc w:val="left"/>
            </w:pPr>
            <w:r>
              <w:t xml:space="preserve">Service Location:</w:t>
            </w:r>
          </w:p>
        </w:tc>
        <w:tc>
          <w:tcPr/>
          <w:p>
            <w:pPr>
              <w:pStyle w:val="Compact"/>
              <w:jc w:val="left"/>
            </w:pPr>
            <w:r>
              <w:t xml:space="preserve">Belgium Brussels — Primary Office &amp; On-Site Facilities</w:t>
            </w:r>
          </w:p>
        </w:tc>
      </w:tr>
      <w:tr>
        <w:tc>
          <w:tcPr/>
          <w:p>
            <w:pPr>
              <w:pStyle w:val="Compact"/>
              <w:jc w:val="left"/>
            </w:pPr>
            <w:r>
              <w:t xml:space="preserve">Prepared By:</w:t>
            </w:r>
          </w:p>
        </w:tc>
        <w:tc>
          <w:tcPr/>
          <w:p>
            <w:pPr>
              <w:pStyle w:val="Compact"/>
              <w:jc w:val="left"/>
            </w:pPr>
            <w:r>
              <w:t xml:space="preserve">Dr. Marc Van den Berg, Lead Aerospace Engineer</w:t>
            </w:r>
          </w:p>
        </w:tc>
      </w:tr>
    </w:tbl>
    <w:bookmarkStart w:id="22" w:name="purpose-of-this-quotation-estimate"/>
    <w:p>
      <w:pPr>
        <w:pStyle w:val="Heading3"/>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AeroTech Consulting BV to formally present the projected costs, scope of deliverables, and professional terms associated with the engagement of a senior</w:t>
      </w:r>
      <w:r>
        <w:t xml:space="preserve"> </w:t>
      </w:r>
      <w:r>
        <w:t xml:space="preserve">Aerospace Engineer</w:t>
      </w:r>
      <w:r>
        <w:t xml:space="preserve"> </w:t>
      </w:r>
      <w:r>
        <w:t xml:space="preserve">for the duration of the referenced project. All services described herein will be executed in and around</w:t>
      </w:r>
      <w:r>
        <w:t xml:space="preserve"> </w:t>
      </w:r>
      <w:r>
        <w:t xml:space="preserve">Belgium Brussels</w:t>
      </w:r>
      <w:r>
        <w:t xml:space="preserve">, in full compliance with Belgian labor regulations, European aerospace certification standards (EASA), and the specific technical requirements outlined in the client's project brief. This document serves as a binding financial proposal for a period of thirty (30) calendar days from the date of issuance.</w:t>
      </w:r>
    </w:p>
    <w:bookmarkEnd w:id="22"/>
    <w:bookmarkStart w:id="23" w:name="X2a1fe246806ffa3e8640531b64daed651571928"/>
    <w:p>
      <w:pPr>
        <w:pStyle w:val="Heading3"/>
      </w:pPr>
      <w:r>
        <w:t xml:space="preserve">2. Scope of Work — Aerospace Engineer Services</w:t>
      </w:r>
    </w:p>
    <w:p>
      <w:pPr>
        <w:pStyle w:val="FirstParagraph"/>
      </w:pPr>
      <w:r>
        <w:t xml:space="preserve">The</w:t>
      </w:r>
      <w:r>
        <w:t xml:space="preserve"> </w:t>
      </w:r>
      <w:r>
        <w:t xml:space="preserve">Aerospace Engineer</w:t>
      </w:r>
      <w:r>
        <w:t xml:space="preserve"> </w:t>
      </w:r>
      <w:r>
        <w:t xml:space="preserve">engaged under this</w:t>
      </w:r>
      <w:r>
        <w:t xml:space="preserve"> </w:t>
      </w:r>
      <w:r>
        <w:t xml:space="preserve">Quotation Estimate</w:t>
      </w:r>
      <w:r>
        <w:t xml:space="preserve"> </w:t>
      </w:r>
      <w:r>
        <w:t xml:space="preserve">will provide the following specialized services within the</w:t>
      </w:r>
      <w:r>
        <w:t xml:space="preserve"> </w:t>
      </w:r>
      <w:r>
        <w:t xml:space="preserve">Belgium Brussels</w:t>
      </w:r>
      <w:r>
        <w:t xml:space="preserve"> </w:t>
      </w:r>
      <w:r>
        <w:t xml:space="preserve">metropolitan area and associated industrial zones:</w:t>
      </w:r>
    </w:p>
    <w:p>
      <w:pPr>
        <w:numPr>
          <w:ilvl w:val="0"/>
          <w:numId w:val="1001"/>
        </w:numPr>
        <w:pStyle w:val="Compact"/>
      </w:pPr>
      <w:r>
        <w:rPr>
          <w:bCs/>
          <w:b/>
        </w:rPr>
        <w:t xml:space="preserve">Structural Integrity Analysis:</w:t>
      </w:r>
      <w:r>
        <w:t xml:space="preserve"> </w:t>
      </w:r>
      <w:r>
        <w:t xml:space="preserve">Comprehensive finite element analysis (FEA) of composite and metallic airframe components, including fatigue life prediction and damage tolerance assessment in accordance with EASA CS-25 and CS-27 regulations.</w:t>
      </w:r>
    </w:p>
    <w:p>
      <w:pPr>
        <w:numPr>
          <w:ilvl w:val="0"/>
          <w:numId w:val="1001"/>
        </w:numPr>
        <w:pStyle w:val="Compact"/>
      </w:pPr>
      <w:r>
        <w:rPr>
          <w:bCs/>
          <w:b/>
        </w:rPr>
        <w:t xml:space="preserve">Aerodynamic Performance Modeling:</w:t>
      </w:r>
      <w:r>
        <w:t xml:space="preserve"> </w:t>
      </w:r>
      <w:r>
        <w:t xml:space="preserve">Development and validation of computational fluid dynamics (CFD) models for subsonic and transonic flight regimes, with iterative design optimization support.</w:t>
      </w:r>
    </w:p>
    <w:p>
      <w:pPr>
        <w:numPr>
          <w:ilvl w:val="0"/>
          <w:numId w:val="1001"/>
        </w:numPr>
        <w:pStyle w:val="Compact"/>
      </w:pPr>
      <w:r>
        <w:rPr>
          <w:bCs/>
          <w:b/>
        </w:rPr>
        <w:t xml:space="preserve">Systems Integration Review:</w:t>
      </w:r>
      <w:r>
        <w:t xml:space="preserve"> </w:t>
      </w:r>
      <w:r>
        <w:t xml:space="preserve">Cross-disciplinary coordination between propulsion, avionics, and structural engineering teams to ensure interface compatibility and system-level performance targets are met.</w:t>
      </w:r>
    </w:p>
    <w:p>
      <w:pPr>
        <w:numPr>
          <w:ilvl w:val="0"/>
          <w:numId w:val="1001"/>
        </w:numPr>
        <w:pStyle w:val="Compact"/>
      </w:pPr>
      <w:r>
        <w:rPr>
          <w:bCs/>
          <w:b/>
        </w:rPr>
        <w:t xml:space="preserve">Certification Support:</w:t>
      </w:r>
      <w:r>
        <w:t xml:space="preserve"> </w:t>
      </w:r>
      <w:r>
        <w:t xml:space="preserve">Preparation of technical dossiers, compliance matrices, and engineering justification reports required for EASA type certification and production approval processes.</w:t>
      </w:r>
    </w:p>
    <w:p>
      <w:pPr>
        <w:numPr>
          <w:ilvl w:val="0"/>
          <w:numId w:val="1001"/>
        </w:numPr>
        <w:pStyle w:val="Compact"/>
      </w:pPr>
      <w:r>
        <w:rPr>
          <w:bCs/>
          <w:b/>
        </w:rPr>
        <w:t xml:space="preserve">On-Site Technical Supervision:</w:t>
      </w:r>
      <w:r>
        <w:t xml:space="preserve"> </w:t>
      </w:r>
      <w:r>
        <w:t xml:space="preserve">Minimum of four (4) days per month of on-site presence at the client's</w:t>
      </w:r>
      <w:r>
        <w:t xml:space="preserve"> </w:t>
      </w:r>
      <w:r>
        <w:t xml:space="preserve">Belgium Brussels</w:t>
      </w:r>
      <w:r>
        <w:t xml:space="preserve"> </w:t>
      </w:r>
      <w:r>
        <w:t xml:space="preserve">facility for design reviews, prototype inspections, and team mentoring.</w:t>
      </w:r>
    </w:p>
    <w:p>
      <w:pPr>
        <w:numPr>
          <w:ilvl w:val="0"/>
          <w:numId w:val="1001"/>
        </w:numPr>
        <w:pStyle w:val="Compact"/>
      </w:pPr>
      <w:r>
        <w:rPr>
          <w:bCs/>
          <w:b/>
        </w:rPr>
        <w:t xml:space="preserve">Documentation &amp; Reporting:</w:t>
      </w:r>
      <w:r>
        <w:t xml:space="preserve"> </w:t>
      </w:r>
      <w:r>
        <w:t xml:space="preserve">Monthly progress reports, interim technical memoranda, and a final comprehensive engineering report delivered in both English and French to satisfy Belgian regulatory filing requirements.</w:t>
      </w:r>
    </w:p>
    <w:bookmarkEnd w:id="23"/>
    <w:bookmarkStart w:id="24" w:name="itemized-cost-breakdown"/>
    <w:p>
      <w:pPr>
        <w:pStyle w:val="Heading3"/>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Senior Aerospace Engineer — Structural Analysis &amp; FEA</w:t>
            </w:r>
          </w:p>
        </w:tc>
        <w:tc>
          <w:tcPr/>
          <w:p>
            <w:pPr>
              <w:pStyle w:val="Compact"/>
              <w:jc w:val="left"/>
            </w:pPr>
            <w:r>
              <w:t xml:space="preserve">120 hours</w:t>
            </w:r>
          </w:p>
        </w:tc>
        <w:tc>
          <w:tcPr/>
          <w:p>
            <w:pPr>
              <w:pStyle w:val="Compact"/>
              <w:jc w:val="left"/>
            </w:pPr>
            <w:r>
              <w:t xml:space="preserve">€145.00/hr</w:t>
            </w:r>
          </w:p>
        </w:tc>
        <w:tc>
          <w:tcPr/>
          <w:p>
            <w:pPr>
              <w:pStyle w:val="Compact"/>
              <w:jc w:val="left"/>
            </w:pPr>
            <w:r>
              <w:t xml:space="preserve">€17,400.00</w:t>
            </w:r>
          </w:p>
        </w:tc>
      </w:tr>
      <w:tr>
        <w:tc>
          <w:tcPr/>
          <w:p>
            <w:pPr>
              <w:pStyle w:val="Compact"/>
              <w:jc w:val="left"/>
            </w:pPr>
            <w:r>
              <w:t xml:space="preserve">2</w:t>
            </w:r>
          </w:p>
        </w:tc>
        <w:tc>
          <w:tcPr/>
          <w:p>
            <w:pPr>
              <w:pStyle w:val="Compact"/>
              <w:jc w:val="left"/>
            </w:pPr>
            <w:r>
              <w:t xml:space="preserve">Aerospace Engineer — Aerodynamic CFD Modeling</w:t>
            </w:r>
          </w:p>
        </w:tc>
        <w:tc>
          <w:tcPr/>
          <w:p>
            <w:pPr>
              <w:pStyle w:val="Compact"/>
              <w:jc w:val="left"/>
            </w:pPr>
            <w:r>
              <w:t xml:space="preserve">80 hours</w:t>
            </w:r>
          </w:p>
        </w:tc>
        <w:tc>
          <w:tcPr/>
          <w:p>
            <w:pPr>
              <w:pStyle w:val="Compact"/>
              <w:jc w:val="left"/>
            </w:pPr>
            <w:r>
              <w:t xml:space="preserve">€145.00/hr</w:t>
            </w:r>
          </w:p>
        </w:tc>
        <w:tc>
          <w:tcPr/>
          <w:p>
            <w:pPr>
              <w:pStyle w:val="Compact"/>
              <w:jc w:val="left"/>
            </w:pPr>
            <w:r>
              <w:t xml:space="preserve">€11,600.00</w:t>
            </w:r>
          </w:p>
        </w:tc>
      </w:tr>
      <w:tr>
        <w:tc>
          <w:tcPr/>
          <w:p>
            <w:pPr>
              <w:pStyle w:val="Compact"/>
              <w:jc w:val="left"/>
            </w:pPr>
            <w:r>
              <w:t xml:space="preserve">3</w:t>
            </w:r>
          </w:p>
        </w:tc>
        <w:tc>
          <w:tcPr/>
          <w:p>
            <w:pPr>
              <w:pStyle w:val="Compact"/>
              <w:jc w:val="left"/>
            </w:pPr>
            <w:r>
              <w:t xml:space="preserve">Systems Integration &amp; Cross-Disciplinary Review</w:t>
            </w:r>
          </w:p>
        </w:tc>
        <w:tc>
          <w:tcPr/>
          <w:p>
            <w:pPr>
              <w:pStyle w:val="Compact"/>
              <w:jc w:val="left"/>
            </w:pPr>
            <w:r>
              <w:t xml:space="preserve">60 hours</w:t>
            </w:r>
          </w:p>
        </w:tc>
        <w:tc>
          <w:tcPr/>
          <w:p>
            <w:pPr>
              <w:pStyle w:val="Compact"/>
              <w:jc w:val="left"/>
            </w:pPr>
            <w:r>
              <w:t xml:space="preserve">€130.00/hr</w:t>
            </w:r>
          </w:p>
        </w:tc>
        <w:tc>
          <w:tcPr/>
          <w:p>
            <w:pPr>
              <w:pStyle w:val="Compact"/>
              <w:jc w:val="left"/>
            </w:pPr>
            <w:r>
              <w:t xml:space="preserve">€7,800.00</w:t>
            </w:r>
          </w:p>
        </w:tc>
      </w:tr>
      <w:tr>
        <w:tc>
          <w:tcPr/>
          <w:p>
            <w:pPr>
              <w:pStyle w:val="Compact"/>
              <w:jc w:val="left"/>
            </w:pPr>
            <w:r>
              <w:t xml:space="preserve">4</w:t>
            </w:r>
          </w:p>
        </w:tc>
        <w:tc>
          <w:tcPr/>
          <w:p>
            <w:pPr>
              <w:pStyle w:val="Compact"/>
              <w:jc w:val="left"/>
            </w:pPr>
            <w:r>
              <w:t xml:space="preserve">EASA Certification Documentation &amp; Compliance</w:t>
            </w:r>
          </w:p>
        </w:tc>
        <w:tc>
          <w:tcPr/>
          <w:p>
            <w:pPr>
              <w:pStyle w:val="Compact"/>
              <w:jc w:val="left"/>
            </w:pPr>
            <w:r>
              <w:t xml:space="preserve">50 hours</w:t>
            </w:r>
          </w:p>
        </w:tc>
        <w:tc>
          <w:tcPr/>
          <w:p>
            <w:pPr>
              <w:pStyle w:val="Compact"/>
              <w:jc w:val="left"/>
            </w:pPr>
            <w:r>
              <w:t xml:space="preserve">€130.00/hr</w:t>
            </w:r>
          </w:p>
        </w:tc>
        <w:tc>
          <w:tcPr/>
          <w:p>
            <w:pPr>
              <w:pStyle w:val="Compact"/>
              <w:jc w:val="left"/>
            </w:pPr>
            <w:r>
              <w:t xml:space="preserve">€6,500.00</w:t>
            </w:r>
          </w:p>
        </w:tc>
      </w:tr>
      <w:tr>
        <w:tc>
          <w:tcPr/>
          <w:p>
            <w:pPr>
              <w:pStyle w:val="Compact"/>
              <w:jc w:val="left"/>
            </w:pPr>
            <w:r>
              <w:t xml:space="preserve">5</w:t>
            </w:r>
          </w:p>
        </w:tc>
        <w:tc>
          <w:tcPr/>
          <w:p>
            <w:pPr>
              <w:pStyle w:val="Compact"/>
              <w:jc w:val="left"/>
            </w:pPr>
            <w:r>
              <w:t xml:space="preserve">On-Site Supervision — Belgium Brussels Facility</w:t>
            </w:r>
          </w:p>
        </w:tc>
        <w:tc>
          <w:tcPr/>
          <w:p>
            <w:pPr>
              <w:pStyle w:val="Compact"/>
              <w:jc w:val="left"/>
            </w:pPr>
            <w:r>
              <w:t xml:space="preserve">16 days</w:t>
            </w:r>
          </w:p>
        </w:tc>
        <w:tc>
          <w:tcPr/>
          <w:p>
            <w:pPr>
              <w:pStyle w:val="Compact"/>
              <w:jc w:val="left"/>
            </w:pPr>
            <w:r>
              <w:t xml:space="preserve">€1,200.00/day</w:t>
            </w:r>
          </w:p>
        </w:tc>
        <w:tc>
          <w:tcPr/>
          <w:p>
            <w:pPr>
              <w:pStyle w:val="Compact"/>
              <w:jc w:val="left"/>
            </w:pPr>
            <w:r>
              <w:t xml:space="preserve">€19,200.00</w:t>
            </w:r>
          </w:p>
        </w:tc>
      </w:tr>
      <w:tr>
        <w:tc>
          <w:tcPr/>
          <w:p>
            <w:pPr>
              <w:pStyle w:val="Compact"/>
              <w:jc w:val="left"/>
            </w:pPr>
            <w:r>
              <w:t xml:space="preserve">6</w:t>
            </w:r>
          </w:p>
        </w:tc>
        <w:tc>
          <w:tcPr/>
          <w:p>
            <w:pPr>
              <w:pStyle w:val="Compact"/>
              <w:jc w:val="left"/>
            </w:pPr>
            <w:r>
              <w:t xml:space="preserve">Software Licenses (ANSYS, CATIA, OpenFOAM) — Project Duration</w:t>
            </w:r>
          </w:p>
        </w:tc>
        <w:tc>
          <w:tcPr/>
          <w:p>
            <w:pPr>
              <w:pStyle w:val="Compact"/>
              <w:jc w:val="left"/>
            </w:pPr>
            <w:r>
              <w:t xml:space="preserve">6 months</w:t>
            </w:r>
          </w:p>
        </w:tc>
        <w:tc>
          <w:tcPr/>
          <w:p>
            <w:pPr>
              <w:pStyle w:val="Compact"/>
              <w:jc w:val="left"/>
            </w:pPr>
            <w:r>
              <w:t xml:space="preserve">—</w:t>
            </w:r>
          </w:p>
        </w:tc>
        <w:tc>
          <w:tcPr/>
          <w:p>
            <w:pPr>
              <w:pStyle w:val="Compact"/>
              <w:jc w:val="left"/>
            </w:pPr>
            <w:r>
              <w:t xml:space="preserve">€4,800.00</w:t>
            </w:r>
          </w:p>
        </w:tc>
      </w:tr>
      <w:tr>
        <w:tc>
          <w:tcPr/>
          <w:p>
            <w:pPr>
              <w:pStyle w:val="Compact"/>
              <w:jc w:val="left"/>
            </w:pPr>
            <w:r>
              <w:t xml:space="preserve">7</w:t>
            </w:r>
          </w:p>
        </w:tc>
        <w:tc>
          <w:tcPr/>
          <w:p>
            <w:pPr>
              <w:pStyle w:val="Compact"/>
              <w:jc w:val="left"/>
            </w:pPr>
            <w:r>
              <w:t xml:space="preserve">Travel &amp; Local Transport within Belgium Brussels Region</w:t>
            </w:r>
          </w:p>
        </w:tc>
        <w:tc>
          <w:tcPr/>
          <w:p>
            <w:pPr>
              <w:pStyle w:val="Compact"/>
              <w:jc w:val="left"/>
            </w:pPr>
            <w:r>
              <w:t xml:space="preserve">6 months</w:t>
            </w:r>
          </w:p>
        </w:tc>
        <w:tc>
          <w:tcPr/>
          <w:p>
            <w:pPr>
              <w:pStyle w:val="Compact"/>
              <w:jc w:val="left"/>
            </w:pPr>
            <w:r>
              <w:t xml:space="preserve">—</w:t>
            </w:r>
          </w:p>
        </w:tc>
        <w:tc>
          <w:tcPr/>
          <w:p>
            <w:pPr>
              <w:pStyle w:val="Compact"/>
              <w:jc w:val="left"/>
            </w:pPr>
            <w:r>
              <w:t xml:space="preserve">€1,500.00</w:t>
            </w:r>
          </w:p>
        </w:tc>
      </w:tr>
      <w:tr>
        <w:tc>
          <w:tcPr/>
          <w:p>
            <w:pPr>
              <w:pStyle w:val="Compact"/>
              <w:jc w:val="left"/>
            </w:pPr>
            <w:r>
              <w:t xml:space="preserve">8</w:t>
            </w:r>
          </w:p>
        </w:tc>
        <w:tc>
          <w:tcPr/>
          <w:p>
            <w:pPr>
              <w:pStyle w:val="Compact"/>
              <w:jc w:val="left"/>
            </w:pPr>
            <w:r>
              <w:t xml:space="preserve">Project Management &amp; Administrative Overhead (10%)</w:t>
            </w:r>
          </w:p>
        </w:tc>
        <w:tc>
          <w:tcPr/>
          <w:p>
            <w:pPr>
              <w:pStyle w:val="Compact"/>
              <w:jc w:val="left"/>
            </w:pPr>
            <w:r>
              <w:t xml:space="preserve">6 months</w:t>
            </w:r>
          </w:p>
        </w:tc>
        <w:tc>
          <w:tcPr/>
          <w:p>
            <w:pPr>
              <w:pStyle w:val="Compact"/>
              <w:jc w:val="left"/>
            </w:pPr>
            <w:r>
              <w:t xml:space="preserve">—</w:t>
            </w:r>
          </w:p>
        </w:tc>
        <w:tc>
          <w:tcPr/>
          <w:p>
            <w:pPr>
              <w:pStyle w:val="Compact"/>
              <w:jc w:val="left"/>
            </w:pPr>
            <w:r>
              <w:t xml:space="preserve">€6,880.00</w:t>
            </w:r>
          </w:p>
        </w:tc>
      </w:tr>
      <w:tr>
        <w:tc>
          <w:tcPr>
            <w:gridSpan w:val="4"/>
          </w:tcPr>
          <w:p>
            <w:pPr>
              <w:pStyle w:val="Compact"/>
              <w:jc w:val="left"/>
            </w:pPr>
            <w:r>
              <w:t xml:space="preserve">Subtotal (excl. VAT)</w:t>
            </w:r>
          </w:p>
        </w:tc>
        <w:tc>
          <w:tcPr/>
          <w:p>
            <w:pPr>
              <w:pStyle w:val="Compact"/>
              <w:jc w:val="left"/>
            </w:pPr>
            <w:r>
              <w:t xml:space="preserve">€75,680.00</w:t>
            </w:r>
          </w:p>
        </w:tc>
      </w:tr>
      <w:tr>
        <w:tc>
          <w:tcPr>
            <w:gridSpan w:val="4"/>
          </w:tcPr>
          <w:p>
            <w:pPr>
              <w:pStyle w:val="Compact"/>
              <w:jc w:val="left"/>
            </w:pPr>
            <w:r>
              <w:t xml:space="preserve">VAT @ 21% (Belgian Standard Rate)</w:t>
            </w:r>
          </w:p>
        </w:tc>
        <w:tc>
          <w:tcPr/>
          <w:p>
            <w:pPr>
              <w:pStyle w:val="Compact"/>
              <w:jc w:val="left"/>
            </w:pPr>
            <w:r>
              <w:t xml:space="preserve">€15,892.80</w:t>
            </w:r>
          </w:p>
        </w:tc>
      </w:tr>
      <w:tr>
        <w:tc>
          <w:tcPr>
            <w:gridSpan w:val="4"/>
          </w:tcPr>
          <w:p>
            <w:pPr>
              <w:pStyle w:val="Compact"/>
              <w:jc w:val="left"/>
            </w:pPr>
            <w:r>
              <w:t xml:space="preserve">TOTAL AMOUNT DUE (incl. VAT)</w:t>
            </w:r>
          </w:p>
        </w:tc>
        <w:tc>
          <w:tcPr/>
          <w:p>
            <w:pPr>
              <w:pStyle w:val="Compact"/>
              <w:jc w:val="left"/>
            </w:pPr>
            <w:r>
              <w:t xml:space="preserve">€91,572.80</w:t>
            </w:r>
          </w:p>
        </w:tc>
      </w:tr>
    </w:tbl>
    <w:bookmarkEnd w:id="24"/>
    <w:bookmarkStart w:id="25" w:name="payment-terms"/>
    <w:p>
      <w:pPr>
        <w:pStyle w:val="Heading3"/>
      </w:pPr>
      <w:r>
        <w:t xml:space="preserve">4. Payment Terms</w:t>
      </w:r>
    </w:p>
    <w:p>
      <w:pPr>
        <w:pStyle w:val="FirstParagraph"/>
      </w:pPr>
      <w:r>
        <w:t xml:space="preserve">Payment for the services outlined in this</w:t>
      </w:r>
      <w:r>
        <w:t xml:space="preserve"> </w:t>
      </w:r>
      <w:r>
        <w:t xml:space="preserve">Quotation Estimate</w:t>
      </w:r>
      <w:r>
        <w:t xml:space="preserve"> </w:t>
      </w:r>
      <w:r>
        <w:t xml:space="preserve">shall be structured as follows: an initial mobilization payment of 25% upon contract signature, followed by monthly progress payments of 12.5% at the end of each calendar month of active engagement, and a final settlement of 25% upon delivery and client acceptance of the final engineering report. All invoices will be issued in Euro (EUR) and are payable within thirty (30) days of invoice date via bank transfer to the AeroTech Consulting BV account held at BNP Paribas Fortis, Brussels, Belgium. Late payments will incur interest at the rate prescribed by Belgian law (Article 5:110 of the Belgian Code of Economic Law).</w:t>
      </w:r>
    </w:p>
    <w:bookmarkEnd w:id="25"/>
    <w:bookmarkStart w:id="26" w:name="terms-and-conditions"/>
    <w:p>
      <w:pPr>
        <w:pStyle w:val="Heading3"/>
      </w:pPr>
      <w:r>
        <w:t xml:space="preserve">5. Terms and Conditions</w:t>
      </w:r>
    </w:p>
    <w:p>
      <w:pPr>
        <w:pStyle w:val="FirstParagraph"/>
      </w:pPr>
      <w:r>
        <w:rPr>
          <w:bCs/>
          <w:b/>
        </w:rPr>
        <w:t xml:space="preserve">5.1</w:t>
      </w:r>
      <w:r>
        <w:t xml:space="preserve"> </w:t>
      </w:r>
      <w:r>
        <w:t xml:space="preserve">This</w:t>
      </w:r>
      <w:r>
        <w:t xml:space="preserve"> </w:t>
      </w:r>
      <w:r>
        <w:t xml:space="preserve">Quotation Estimate</w:t>
      </w:r>
      <w:r>
        <w:t xml:space="preserve"> </w:t>
      </w:r>
      <w:r>
        <w:t xml:space="preserve">is valid for thirty (30) days from the date of issue. Beyond this period, rates and availability of the designated</w:t>
      </w:r>
      <w:r>
        <w:t xml:space="preserve"> </w:t>
      </w:r>
      <w:r>
        <w:t xml:space="preserve">Aerospace Engineer</w:t>
      </w:r>
      <w:r>
        <w:t xml:space="preserve"> </w:t>
      </w:r>
      <w:r>
        <w:t xml:space="preserve">are subject to re-evaluation.</w:t>
      </w:r>
    </w:p>
    <w:p>
      <w:pPr>
        <w:pStyle w:val="BodyText"/>
      </w:pPr>
      <w:r>
        <w:rPr>
          <w:bCs/>
          <w:b/>
        </w:rPr>
        <w:t xml:space="preserve">5.2</w:t>
      </w:r>
      <w:r>
        <w:t xml:space="preserve"> </w:t>
      </w:r>
      <w:r>
        <w:t xml:space="preserve">All intellectual property generated specifically for the client under this engagement shall vest in the client upon full payment. General methodologies, proprietary tools, and pre-existing knowledge of the</w:t>
      </w:r>
      <w:r>
        <w:t xml:space="preserve"> </w:t>
      </w:r>
      <w:r>
        <w:t xml:space="preserve">Aerospace Engineer</w:t>
      </w:r>
      <w:r>
        <w:t xml:space="preserve"> </w:t>
      </w:r>
      <w:r>
        <w:t xml:space="preserve">remain the property of AeroTech Consulting BV.</w:t>
      </w:r>
    </w:p>
    <w:p>
      <w:pPr>
        <w:pStyle w:val="BodyText"/>
      </w:pPr>
      <w:r>
        <w:rPr>
          <w:bCs/>
          <w:b/>
        </w:rPr>
        <w:t xml:space="preserve">5.3</w:t>
      </w:r>
      <w:r>
        <w:t xml:space="preserve"> </w:t>
      </w:r>
      <w:r>
        <w:t xml:space="preserve">The</w:t>
      </w:r>
      <w:r>
        <w:t xml:space="preserve"> </w:t>
      </w:r>
      <w:r>
        <w:t xml:space="preserve">Aerospace Engineer</w:t>
      </w:r>
      <w:r>
        <w:t xml:space="preserve"> </w:t>
      </w:r>
      <w:r>
        <w:t xml:space="preserve">shall comply with all applicable Belgian employment, health and safety, and data protection regulations (including the GDPR as transposed into Belgian law) while performing duties in</w:t>
      </w:r>
      <w:r>
        <w:t xml:space="preserve"> </w:t>
      </w:r>
      <w:r>
        <w:t xml:space="preserve">Belgium Brussels</w:t>
      </w:r>
      <w:r>
        <w:t xml:space="preserve">.</w:t>
      </w:r>
    </w:p>
    <w:p>
      <w:pPr>
        <w:pStyle w:val="BodyText"/>
      </w:pPr>
      <w:r>
        <w:rPr>
          <w:bCs/>
          <w:b/>
        </w:rPr>
        <w:t xml:space="preserve">5.4</w:t>
      </w:r>
      <w:r>
        <w:t xml:space="preserve"> </w:t>
      </w:r>
      <w:r>
        <w:t xml:space="preserve">Any scope changes exceeding 10% of the originally estimated hours will require a formal amendment to this</w:t>
      </w:r>
      <w:r>
        <w:t xml:space="preserve"> </w:t>
      </w:r>
      <w:r>
        <w:t xml:space="preserve">Quotation Estimate</w:t>
      </w:r>
      <w:r>
        <w:t xml:space="preserve">, signed by both parties, before additional work commences.</w:t>
      </w:r>
    </w:p>
    <w:p>
      <w:pPr>
        <w:pStyle w:val="BodyText"/>
      </w:pPr>
      <w:r>
        <w:rPr>
          <w:bCs/>
          <w:b/>
        </w:rPr>
        <w:t xml:space="preserve">5.5</w:t>
      </w:r>
      <w:r>
        <w:t xml:space="preserve"> </w:t>
      </w:r>
      <w:r>
        <w:t xml:space="preserve">Disputes arising from this agreement shall be resolved by the competent courts of Brussels, Belgium, in accordance with Belgian civil and commercial law.</w:t>
      </w:r>
    </w:p>
    <w:p>
      <w:pPr>
        <w:pStyle w:val="BodyText"/>
      </w:pPr>
      <w:r>
        <w:rPr>
          <w:bCs/>
          <w:b/>
        </w:rPr>
        <w:t xml:space="preserve">5.6</w:t>
      </w:r>
      <w:r>
        <w:t xml:space="preserve"> </w:t>
      </w:r>
      <w:r>
        <w:t xml:space="preserve">The</w:t>
      </w:r>
      <w:r>
        <w:t xml:space="preserve"> </w:t>
      </w:r>
      <w:r>
        <w:t xml:space="preserve">Aerospace Engineer</w:t>
      </w:r>
      <w:r>
        <w:t xml:space="preserve"> </w:t>
      </w:r>
      <w:r>
        <w:t xml:space="preserve">is required to maintain professional liability insurance with a minimum coverage of €2,000,000 per claim, valid throughout the project duration in Belgium.</w:t>
      </w:r>
    </w:p>
    <w:bookmarkEnd w:id="26"/>
    <w:bookmarkStart w:id="27" w:name="acceptance-and-authorization"/>
    <w:p>
      <w:pPr>
        <w:pStyle w:val="Heading3"/>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accepts the terms, conditions, and pricing for the</w:t>
      </w:r>
      <w:r>
        <w:t xml:space="preserve"> </w:t>
      </w:r>
      <w:r>
        <w:t xml:space="preserve">Aerospace Engineer</w:t>
      </w:r>
      <w:r>
        <w:t xml:space="preserve"> </w:t>
      </w:r>
      <w:r>
        <w:t xml:space="preserve">services to be performed in</w:t>
      </w:r>
      <w:r>
        <w:t xml:space="preserve"> </w:t>
      </w:r>
      <w:r>
        <w:t xml:space="preserve">Belgium Brussels</w:t>
      </w:r>
      <w:r>
        <w:t xml:space="preserve">, and authorizes AeroTech Consulting BV to proceed with resource allocation and project scheduling.</w:t>
      </w:r>
    </w:p>
    <w:p>
      <w:pPr>
        <w:pStyle w:val="BodyText"/>
      </w:pPr>
      <w:r>
        <w:rPr>
          <w:bCs/>
          <w:b/>
        </w:rPr>
        <w:t xml:space="preserve">For AeroTech Consulting BV</w:t>
      </w:r>
    </w:p>
    <w:p>
      <w:pPr>
        <w:pStyle w:val="BodyText"/>
      </w:pPr>
      <w:r>
        <w:t xml:space="preserve">Dr. Marc Van den Berg</w:t>
      </w:r>
      <w:r>
        <w:br/>
      </w:r>
      <w:r>
        <w:t xml:space="preserve">Lead Aerospace Engineer / Director</w:t>
      </w:r>
      <w:r>
        <w:br/>
      </w:r>
      <w:r>
        <w:t xml:space="preserve">Date: ____________________</w:t>
      </w:r>
    </w:p>
    <w:p>
      <w:pPr>
        <w:pStyle w:val="BodyText"/>
      </w:pPr>
      <w:r>
        <w:rPr>
          <w:bCs/>
          <w:b/>
        </w:rPr>
        <w:t xml:space="preserve">For the Client (EAIC)</w:t>
      </w:r>
    </w:p>
    <w:p>
      <w:pPr>
        <w:pStyle w:val="BodyText"/>
      </w:pPr>
      <w:r>
        <w:t xml:space="preserve">Name: ____________________</w:t>
      </w:r>
      <w:r>
        <w:br/>
      </w:r>
      <w:r>
        <w:t xml:space="preserve">Title: ____________________</w:t>
      </w:r>
      <w:r>
        <w:br/>
      </w:r>
      <w:r>
        <w:t xml:space="preserve">Date: ____________________</w:t>
      </w:r>
    </w:p>
    <w:p>
      <w:pPr>
        <w:pStyle w:val="BodyText"/>
      </w:pPr>
      <w:r>
        <w:t xml:space="preserve">AeroTech Consulting BV — Rue de la Loi 142, 1040 Brussels, Belgium — VAT: BE 0765.432.109 — RLE Brussels</w:t>
      </w:r>
    </w:p>
    <w:p>
      <w:pPr>
        <w:pStyle w:val="BodyText"/>
      </w:pPr>
      <w:r>
        <w:t xml:space="preserve">This Quotation Estimate is a confidential commercial document. Unauthorized reproduction or distribution is prohibited.</w:t>
      </w:r>
    </w:p>
    <w:p>
      <w:pPr>
        <w:pStyle w:val="BodyText"/>
      </w:pPr>
      <w:r>
        <w:t xml:space="preserve">Document Reference: QTE-2025-BRU-0487 |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Aerospace Engineer Services - Belgium Brussels</dc:title>
  <dc:creator/>
  <dc:language>en</dc:language>
  <cp:keywords/>
  <dcterms:created xsi:type="dcterms:W3CDTF">2026-10-10T01:45:21Z</dcterms:created>
  <dcterms:modified xsi:type="dcterms:W3CDTF">2026-10-10T01:45:21Z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