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AeroTech Engineering Solutions Co., Ltd.</w:t>
      </w:r>
    </w:p>
    <w:p>
      <w:pPr>
        <w:pStyle w:val="BodyText"/>
      </w:pPr>
      <w:r>
        <w:t xml:space="preserve">Building 12, Pudong New Area, China Shanghai 200120, People's Republic of China</w:t>
      </w:r>
    </w:p>
    <w:p>
      <w:pPr>
        <w:pStyle w:val="BodyText"/>
      </w:pPr>
      <w:r>
        <w:t xml:space="preserve">Tel: +86-21-5888-6600 | Email: estimates@shanghaiaerotech.cn</w:t>
      </w:r>
    </w:p>
    <w:p>
      <w:pPr>
        <w:pStyle w:val="BodyText"/>
      </w:pPr>
      <w:r>
        <w:t xml:space="preserve">Unified Social Credit Code: 91310115MA1K4X7B2Q</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QTE-2025-SH-0472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Project Reference:</w:t>
      </w:r>
      <w:r>
        <w:t xml:space="preserve"> </w:t>
      </w:r>
      <w:r>
        <w:t xml:space="preserve">AES-CHN-SH-2025-019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China Shanghai</w:t>
      </w:r>
    </w:p>
    <w:p>
      <w:pPr>
        <w:pStyle w:val="BodyText"/>
      </w:pPr>
      <w:r>
        <w:rPr>
          <w:bCs/>
          <w:b/>
        </w:rPr>
        <w:t xml:space="preserve">Attn:</w:t>
      </w:r>
      <w:r>
        <w:t xml:space="preserve"> </w:t>
      </w:r>
      <w:r>
        <w:t xml:space="preserve">[Contact Person], Procurement Director</w:t>
      </w:r>
    </w:p>
    <w:p>
      <w:pPr>
        <w:pStyle w:val="BodyText"/>
      </w:pPr>
      <w:r>
        <w:rPr>
          <w:bCs/>
          <w:b/>
        </w:rPr>
        <w:t xml:space="preserve">Phone:</w:t>
      </w:r>
      <w:r>
        <w:t xml:space="preserve"> </w:t>
      </w:r>
      <w:r>
        <w:t xml:space="preserve">+86-21-XXXX-XXXX</w:t>
      </w:r>
    </w:p>
    <w:bookmarkEnd w:id="22"/>
    <w:p>
      <w:pPr>
        <w:pStyle w:val="BodyText"/>
      </w:pPr>
      <w:r>
        <w:t xml:space="preserve">1. Purpose and Scope of This Quotation Estimate</w:t>
      </w:r>
    </w:p>
    <w:p>
      <w:pPr>
        <w:pStyle w:val="BodyText"/>
      </w:pPr>
      <w:r>
        <w:t xml:space="preserve">This Quotation Estimate is issued by Shanghai AeroTech Engineering Solutions Co., Ltd. to provide a comprehensive cost breakdown for the engagement of a senior Aerospace Engineer to deliver specialized technical services within the China Shanghai metropolitan region. The scope encompasses aerodynamic analysis, structural integrity assessment, propulsion system design review, and full-cycle project management for aerospace components and subsystems. This Quotation Estimate reflects current market rates for qualified Aerospace Engineer professionals operating in China Shanghai as of the date of issue and is subject to the terms and conditions outlined herein.</w:t>
      </w:r>
    </w:p>
    <w:p>
      <w:pPr>
        <w:pStyle w:val="BodyText"/>
      </w:pPr>
      <w:r>
        <w:t xml:space="preserve">2. Scope of Services – Aerospace Engineer Engagement</w:t>
      </w:r>
    </w:p>
    <w:p>
      <w:pPr>
        <w:pStyle w:val="BodyText"/>
      </w:pPr>
      <w:r>
        <w:t xml:space="preserve">The Aerospace Engineer assigned to this project will hold a minimum of ten (10) years of professional experience in commercial and/or defense aerospace programs. The engineer will be based at the client's facility in China Shanghai and will report directly to the project director. The following services are included in this Quotation Estimate:</w:t>
      </w:r>
    </w:p>
    <w:p>
      <w:pPr>
        <w:numPr>
          <w:ilvl w:val="0"/>
          <w:numId w:val="1001"/>
        </w:numPr>
        <w:pStyle w:val="Compact"/>
      </w:pPr>
      <w:r>
        <w:t xml:space="preserve">Aerodynamic modeling and computational fluid dynamics (CFD) simulation for fixed-wing and rotary-wing platforms.</w:t>
      </w:r>
    </w:p>
    <w:p>
      <w:pPr>
        <w:numPr>
          <w:ilvl w:val="0"/>
          <w:numId w:val="1001"/>
        </w:numPr>
        <w:pStyle w:val="Compact"/>
      </w:pPr>
      <w:r>
        <w:t xml:space="preserve">Structural analysis and finite element modeling (FEM) of airframe components compliant with CCAR-25 and EASA CS-25 standards.</w:t>
      </w:r>
    </w:p>
    <w:p>
      <w:pPr>
        <w:numPr>
          <w:ilvl w:val="0"/>
          <w:numId w:val="1001"/>
        </w:numPr>
        <w:pStyle w:val="Compact"/>
      </w:pPr>
      <w:r>
        <w:t xml:space="preserve">Propulsion system performance evaluation and thermal management design for turbofan and turboshaft engines.</w:t>
      </w:r>
    </w:p>
    <w:p>
      <w:pPr>
        <w:numPr>
          <w:ilvl w:val="0"/>
          <w:numId w:val="1001"/>
        </w:numPr>
        <w:pStyle w:val="Compact"/>
      </w:pPr>
      <w:r>
        <w:t xml:space="preserve">Avionics integration review and flight control system verification.</w:t>
      </w:r>
    </w:p>
    <w:p>
      <w:pPr>
        <w:numPr>
          <w:ilvl w:val="0"/>
          <w:numId w:val="1001"/>
        </w:numPr>
        <w:pStyle w:val="Compact"/>
      </w:pPr>
      <w:r>
        <w:t xml:space="preserve">Regulatory compliance documentation for the Civil Aviation Administration of China (CAAC).</w:t>
      </w:r>
    </w:p>
    <w:p>
      <w:pPr>
        <w:numPr>
          <w:ilvl w:val="0"/>
          <w:numId w:val="1001"/>
        </w:numPr>
        <w:pStyle w:val="Compact"/>
      </w:pPr>
      <w:r>
        <w:t xml:space="preserve">Weekly progress reporting and monthly technical review meetings conducted in China Shanghai.</w:t>
      </w:r>
    </w:p>
    <w:p>
      <w:pPr>
        <w:numPr>
          <w:ilvl w:val="0"/>
          <w:numId w:val="1001"/>
        </w:numPr>
        <w:pStyle w:val="Compact"/>
      </w:pPr>
      <w:r>
        <w:t xml:space="preserve">On-site inspection and quality assurance at partner manufacturing facilities within the Pudong and Minhang industrial zones of China Shanghai.</w:t>
      </w:r>
    </w:p>
    <w:p>
      <w:pPr>
        <w:pStyle w:val="FirstParagraph"/>
      </w:pPr>
      <w:r>
        <w:t xml:space="preserve">3. 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Aerospace Engineer – Senior (Aerodynamics &amp; CFD)</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c>
          <w:tcPr/>
          <w:p>
            <w:pPr>
              <w:pStyle w:val="Compact"/>
              <w:jc w:val="left"/>
            </w:pPr>
            <w:r>
              <w:t xml:space="preserve">Full-time on-site, China Shanghai</w:t>
            </w:r>
          </w:p>
        </w:tc>
      </w:tr>
      <w:tr>
        <w:tc>
          <w:tcPr/>
          <w:p>
            <w:pPr>
              <w:pStyle w:val="Compact"/>
              <w:jc w:val="left"/>
            </w:pPr>
            <w:r>
              <w:t xml:space="preserve">2</w:t>
            </w:r>
          </w:p>
        </w:tc>
        <w:tc>
          <w:tcPr/>
          <w:p>
            <w:pPr>
              <w:pStyle w:val="Compact"/>
              <w:jc w:val="left"/>
            </w:pPr>
            <w:r>
              <w:t xml:space="preserve">Aerospace Engineer – Mid-Level (Structural Analysis)</w:t>
            </w:r>
          </w:p>
        </w:tc>
        <w:tc>
          <w:tcPr/>
          <w:p>
            <w:pPr>
              <w:pStyle w:val="Compact"/>
              <w:jc w:val="left"/>
            </w:pPr>
            <w:r>
              <w:t xml:space="preserve">6 months</w:t>
            </w:r>
          </w:p>
        </w:tc>
        <w:tc>
          <w:tcPr/>
          <w:p>
            <w:pPr>
              <w:pStyle w:val="Compact"/>
              <w:jc w:val="left"/>
            </w:pPr>
            <w:r>
              <w:t xml:space="preserve">32,000 / month</w:t>
            </w:r>
          </w:p>
        </w:tc>
        <w:tc>
          <w:tcPr/>
          <w:p>
            <w:pPr>
              <w:pStyle w:val="Compact"/>
              <w:jc w:val="left"/>
            </w:pPr>
            <w:r>
              <w:t xml:space="preserve">192,000.00</w:t>
            </w:r>
          </w:p>
        </w:tc>
        <w:tc>
          <w:tcPr/>
          <w:p>
            <w:pPr>
              <w:pStyle w:val="Compact"/>
              <w:jc w:val="left"/>
            </w:pPr>
            <w:r>
              <w:t xml:space="preserve">Full-time on-site, China Shanghai</w:t>
            </w:r>
          </w:p>
        </w:tc>
      </w:tr>
      <w:tr>
        <w:tc>
          <w:tcPr/>
          <w:p>
            <w:pPr>
              <w:pStyle w:val="Compact"/>
              <w:jc w:val="left"/>
            </w:pPr>
            <w:r>
              <w:t xml:space="preserve">3</w:t>
            </w:r>
          </w:p>
        </w:tc>
        <w:tc>
          <w:tcPr/>
          <w:p>
            <w:pPr>
              <w:pStyle w:val="Compact"/>
              <w:jc w:val="left"/>
            </w:pPr>
            <w:r>
              <w:t xml:space="preserve">Propulsion System Design Review &amp; Validation</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84,000.00</w:t>
            </w:r>
          </w:p>
        </w:tc>
        <w:tc>
          <w:tcPr/>
          <w:p>
            <w:pPr>
              <w:pStyle w:val="Compact"/>
              <w:jc w:val="left"/>
            </w:pPr>
            <w:r>
              <w:t xml:space="preserve">Part-time, 3 days/week</w:t>
            </w:r>
          </w:p>
        </w:tc>
      </w:tr>
      <w:tr>
        <w:tc>
          <w:tcPr/>
          <w:p>
            <w:pPr>
              <w:pStyle w:val="Compact"/>
              <w:jc w:val="left"/>
            </w:pPr>
            <w:r>
              <w:t xml:space="preserve">4</w:t>
            </w:r>
          </w:p>
        </w:tc>
        <w:tc>
          <w:tcPr/>
          <w:p>
            <w:pPr>
              <w:pStyle w:val="Compact"/>
              <w:jc w:val="left"/>
            </w:pPr>
            <w:r>
              <w:t xml:space="preserve">CAAC Regulatory Compliance Documentation</w:t>
            </w:r>
          </w:p>
        </w:tc>
        <w:tc>
          <w:tcPr/>
          <w:p>
            <w:pPr>
              <w:pStyle w:val="Compact"/>
              <w:jc w:val="left"/>
            </w:pPr>
            <w:r>
              <w:t xml:space="preserve">2 months</w:t>
            </w:r>
          </w:p>
        </w:tc>
        <w:tc>
          <w:tcPr/>
          <w:p>
            <w:pPr>
              <w:pStyle w:val="Compact"/>
              <w:jc w:val="left"/>
            </w:pPr>
            <w:r>
              <w:t xml:space="preserve">25,000 / month</w:t>
            </w:r>
          </w:p>
        </w:tc>
        <w:tc>
          <w:tcPr/>
          <w:p>
            <w:pPr>
              <w:pStyle w:val="Compact"/>
              <w:jc w:val="left"/>
            </w:pPr>
            <w:r>
              <w:t xml:space="preserve">50,000.00</w:t>
            </w:r>
          </w:p>
        </w:tc>
        <w:tc>
          <w:tcPr/>
          <w:p>
            <w:pPr>
              <w:pStyle w:val="Compact"/>
              <w:jc w:val="left"/>
            </w:pPr>
            <w:r>
              <w:t xml:space="preserve">Deliverable-based milestone</w:t>
            </w:r>
          </w:p>
        </w:tc>
      </w:tr>
      <w:tr>
        <w:tc>
          <w:tcPr/>
          <w:p>
            <w:pPr>
              <w:pStyle w:val="Compact"/>
              <w:jc w:val="left"/>
            </w:pPr>
            <w:r>
              <w:t xml:space="preserve">5</w:t>
            </w:r>
          </w:p>
        </w:tc>
        <w:tc>
          <w:tcPr/>
          <w:p>
            <w:pPr>
              <w:pStyle w:val="Compact"/>
              <w:jc w:val="left"/>
            </w:pPr>
            <w:r>
              <w:t xml:space="preserve">CFD / FEM Software License (Annual Subscription)</w:t>
            </w:r>
          </w:p>
        </w:tc>
        <w:tc>
          <w:tcPr/>
          <w:p>
            <w:pPr>
              <w:pStyle w:val="Compact"/>
              <w:jc w:val="left"/>
            </w:pPr>
            <w:r>
              <w:t xml:space="preserve">12 months</w:t>
            </w:r>
          </w:p>
        </w:tc>
        <w:tc>
          <w:tcPr/>
          <w:p>
            <w:pPr>
              <w:pStyle w:val="Compact"/>
              <w:jc w:val="left"/>
            </w:pPr>
            <w:r>
              <w:t xml:space="preserve">180,000 / year</w:t>
            </w:r>
          </w:p>
        </w:tc>
        <w:tc>
          <w:tcPr/>
          <w:p>
            <w:pPr>
              <w:pStyle w:val="Compact"/>
              <w:jc w:val="left"/>
            </w:pPr>
            <w:r>
              <w:t xml:space="preserve">180,000.00</w:t>
            </w:r>
          </w:p>
        </w:tc>
        <w:tc>
          <w:tcPr/>
          <w:p>
            <w:pPr>
              <w:pStyle w:val="Compact"/>
              <w:jc w:val="left"/>
            </w:pPr>
            <w:r>
              <w:t xml:space="preserve">Ansys Fluent + ABAQUS suite</w:t>
            </w:r>
          </w:p>
        </w:tc>
      </w:tr>
      <w:tr>
        <w:tc>
          <w:tcPr/>
          <w:p>
            <w:pPr>
              <w:pStyle w:val="Compact"/>
              <w:jc w:val="left"/>
            </w:pPr>
            <w:r>
              <w:t xml:space="preserve">6</w:t>
            </w:r>
          </w:p>
        </w:tc>
        <w:tc>
          <w:tcPr/>
          <w:p>
            <w:pPr>
              <w:pStyle w:val="Compact"/>
              <w:jc w:val="left"/>
            </w:pPr>
            <w:r>
              <w:t xml:space="preserve">On-site Inspection &amp; QA at Partner Facilities</w:t>
            </w:r>
          </w:p>
        </w:tc>
        <w:tc>
          <w:tcPr/>
          <w:p>
            <w:pPr>
              <w:pStyle w:val="Compact"/>
              <w:jc w:val="left"/>
            </w:pPr>
            <w:r>
              <w:t xml:space="preserve">4 visits</w:t>
            </w:r>
          </w:p>
        </w:tc>
        <w:tc>
          <w:tcPr/>
          <w:p>
            <w:pPr>
              <w:pStyle w:val="Compact"/>
              <w:jc w:val="left"/>
            </w:pPr>
            <w:r>
              <w:t xml:space="preserve">12,000 / visit</w:t>
            </w:r>
          </w:p>
        </w:tc>
        <w:tc>
          <w:tcPr/>
          <w:p>
            <w:pPr>
              <w:pStyle w:val="Compact"/>
              <w:jc w:val="left"/>
            </w:pPr>
            <w:r>
              <w:t xml:space="preserve">48,000.00</w:t>
            </w:r>
          </w:p>
        </w:tc>
        <w:tc>
          <w:tcPr/>
          <w:p>
            <w:pPr>
              <w:pStyle w:val="Compact"/>
              <w:jc w:val="left"/>
            </w:pPr>
            <w:r>
              <w:t xml:space="preserve">Travel within China Shanghai included</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6 months</w:t>
            </w:r>
          </w:p>
        </w:tc>
        <w:tc>
          <w:tcPr/>
          <w:p>
            <w:pPr>
              <w:pStyle w:val="Compact"/>
              <w:jc w:val="left"/>
            </w:pPr>
            <w:r>
              <w:t xml:space="preserve">15,000 / month</w:t>
            </w:r>
          </w:p>
        </w:tc>
        <w:tc>
          <w:tcPr/>
          <w:p>
            <w:pPr>
              <w:pStyle w:val="Compact"/>
              <w:jc w:val="left"/>
            </w:pPr>
            <w:r>
              <w:t xml:space="preserve">90,000.00</w:t>
            </w:r>
          </w:p>
        </w:tc>
        <w:tc>
          <w:tcPr/>
          <w:p>
            <w:pPr>
              <w:pStyle w:val="Compact"/>
              <w:jc w:val="left"/>
            </w:pPr>
            <w:r>
              <w:t xml:space="preserve">Administrative support, reporting</w:t>
            </w:r>
          </w:p>
        </w:tc>
      </w:tr>
      <w:tr>
        <w:tc>
          <w:tcPr/>
          <w:p>
            <w:pPr>
              <w:pStyle w:val="Compact"/>
              <w:jc w:val="left"/>
            </w:pPr>
            <w:r>
              <w:t xml:space="preserve">8</w:t>
            </w:r>
          </w:p>
        </w:tc>
        <w:tc>
          <w:tcPr/>
          <w:p>
            <w:pPr>
              <w:pStyle w:val="Compact"/>
              <w:jc w:val="left"/>
            </w:pPr>
            <w:r>
              <w:t xml:space="preserve">Technical Training &amp; Knowledge Transfer Sessions</w:t>
            </w:r>
          </w:p>
        </w:tc>
        <w:tc>
          <w:tcPr/>
          <w:p>
            <w:pPr>
              <w:pStyle w:val="Compact"/>
              <w:jc w:val="left"/>
            </w:pPr>
            <w:r>
              <w:t xml:space="preserve">8 sessions</w:t>
            </w:r>
          </w:p>
        </w:tc>
        <w:tc>
          <w:tcPr/>
          <w:p>
            <w:pPr>
              <w:pStyle w:val="Compact"/>
              <w:jc w:val="left"/>
            </w:pPr>
            <w:r>
              <w:t xml:space="preserve">8,000 / session</w:t>
            </w:r>
          </w:p>
        </w:tc>
        <w:tc>
          <w:tcPr/>
          <w:p>
            <w:pPr>
              <w:pStyle w:val="Compact"/>
              <w:jc w:val="left"/>
            </w:pPr>
            <w:r>
              <w:t xml:space="preserve">64,000.00</w:t>
            </w:r>
          </w:p>
        </w:tc>
        <w:tc>
          <w:tcPr/>
          <w:p>
            <w:pPr>
              <w:pStyle w:val="Compact"/>
              <w:jc w:val="left"/>
            </w:pPr>
            <w:r>
              <w:t xml:space="preserve">For client in-house engineering team</w:t>
            </w:r>
          </w:p>
        </w:tc>
      </w:tr>
      <w:tr>
        <w:tc>
          <w:tcPr>
            <w:gridSpan w:val="4"/>
          </w:tcPr>
          <w:p>
            <w:pPr>
              <w:pStyle w:val="Compact"/>
              <w:jc w:val="left"/>
            </w:pPr>
            <w:r>
              <w:t xml:space="preserve">Subtotal</w:t>
            </w:r>
          </w:p>
        </w:tc>
        <w:tc>
          <w:tcPr/>
          <w:p>
            <w:pPr>
              <w:pStyle w:val="Compact"/>
              <w:jc w:val="left"/>
            </w:pPr>
            <w:r>
              <w:t xml:space="preserve">978,000.00</w:t>
            </w:r>
          </w:p>
        </w:tc>
        <w:tc>
          <w:tcPr/>
          <w:p>
            <w:pPr>
              <w:pStyle w:val="Compact"/>
            </w:pPr>
          </w:p>
        </w:tc>
      </w:tr>
      <w:tr>
        <w:tc>
          <w:tcPr>
            <w:gridSpan w:val="4"/>
          </w:tcPr>
          <w:p>
            <w:pPr>
              <w:pStyle w:val="Compact"/>
              <w:jc w:val="left"/>
            </w:pPr>
            <w:r>
              <w:t xml:space="preserve">VAT (13% – PRC Standard Rate)</w:t>
            </w:r>
          </w:p>
        </w:tc>
        <w:tc>
          <w:tcPr/>
          <w:p>
            <w:pPr>
              <w:pStyle w:val="Compact"/>
              <w:jc w:val="left"/>
            </w:pPr>
            <w:r>
              <w:t xml:space="preserve">127,140.00</w:t>
            </w:r>
          </w:p>
        </w:tc>
        <w:tc>
          <w:tcPr/>
          <w:p>
            <w:pPr>
              <w:pStyle w:val="Compact"/>
            </w:pPr>
          </w:p>
        </w:tc>
      </w:tr>
      <w:tr>
        <w:tc>
          <w:tcPr>
            <w:gridSpan w:val="4"/>
          </w:tcPr>
          <w:p>
            <w:pPr>
              <w:pStyle w:val="Compact"/>
              <w:jc w:val="left"/>
            </w:pPr>
            <w:r>
              <w:rPr>
                <w:bCs/>
                <w:b/>
              </w:rPr>
              <w:t xml:space="preserve">GRAND TOTAL (CNY)</w:t>
            </w:r>
          </w:p>
        </w:tc>
        <w:tc>
          <w:tcPr/>
          <w:p>
            <w:pPr>
              <w:pStyle w:val="Compact"/>
              <w:jc w:val="left"/>
            </w:pPr>
            <w:r>
              <w:rPr>
                <w:bCs/>
                <w:b/>
              </w:rPr>
              <w:t xml:space="preserve">1,105,140.00</w:t>
            </w:r>
          </w:p>
        </w:tc>
        <w:tc>
          <w:tcPr/>
          <w:p>
            <w:pPr>
              <w:pStyle w:val="Compact"/>
              <w:jc w:val="left"/>
            </w:pPr>
            <w:r>
              <w:rPr>
                <w:bCs/>
                <w:b/>
              </w:rPr>
              <w:t xml:space="preserve">≈ USD 152,800</w:t>
            </w:r>
          </w:p>
        </w:tc>
      </w:tr>
    </w:tbl>
    <w:p>
      <w:pPr>
        <w:pStyle w:val="BodyText"/>
      </w:pPr>
      <w:r>
        <w:t xml:space="preserve">All amounts are quoted in Chinese Yuan (CNY) unless otherwise stated. Exchange rate reference: 1 USD = 7.23 CNY (PBoC mid-rate, June 2025). This Quotation Estimate does not include any costs related to international travel, visa processing, or accommodation for personnel traveling from outside China Shanghai.</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30%</w:t>
            </w:r>
          </w:p>
        </w:tc>
        <w:tc>
          <w:tcPr/>
          <w:p>
            <w:pPr>
              <w:pStyle w:val="Compact"/>
              <w:jc w:val="left"/>
            </w:pPr>
            <w:r>
              <w:t xml:space="preserve">331,542.00</w:t>
            </w:r>
          </w:p>
        </w:tc>
        <w:tc>
          <w:tcPr/>
          <w:p>
            <w:pPr>
              <w:pStyle w:val="Compact"/>
              <w:jc w:val="left"/>
            </w:pPr>
            <w:r>
              <w:t xml:space="preserve">Within 10 business days of signing</w:t>
            </w:r>
          </w:p>
        </w:tc>
      </w:tr>
      <w:tr>
        <w:tc>
          <w:tcPr/>
          <w:p>
            <w:pPr>
              <w:pStyle w:val="Compact"/>
              <w:jc w:val="left"/>
            </w:pPr>
            <w:r>
              <w:t xml:space="preserve">Completion of Month 3 deliverables</w:t>
            </w:r>
          </w:p>
        </w:tc>
        <w:tc>
          <w:tcPr/>
          <w:p>
            <w:pPr>
              <w:pStyle w:val="Compact"/>
              <w:jc w:val="left"/>
            </w:pPr>
            <w:r>
              <w:t xml:space="preserve">25%</w:t>
            </w:r>
          </w:p>
        </w:tc>
        <w:tc>
          <w:tcPr/>
          <w:p>
            <w:pPr>
              <w:pStyle w:val="Compact"/>
              <w:jc w:val="left"/>
            </w:pPr>
            <w:r>
              <w:t xml:space="preserve">276,285.00</w:t>
            </w:r>
          </w:p>
        </w:tc>
        <w:tc>
          <w:tcPr/>
          <w:p>
            <w:pPr>
              <w:pStyle w:val="Compact"/>
              <w:jc w:val="left"/>
            </w:pPr>
            <w:r>
              <w:t xml:space="preserve">Upon acceptance of interim report</w:t>
            </w:r>
          </w:p>
        </w:tc>
      </w:tr>
      <w:tr>
        <w:tc>
          <w:tcPr/>
          <w:p>
            <w:pPr>
              <w:pStyle w:val="Compact"/>
              <w:jc w:val="left"/>
            </w:pPr>
            <w:r>
              <w:t xml:space="preserve">Completion of Month 6 deliverables</w:t>
            </w:r>
          </w:p>
        </w:tc>
        <w:tc>
          <w:tcPr/>
          <w:p>
            <w:pPr>
              <w:pStyle w:val="Compact"/>
              <w:jc w:val="left"/>
            </w:pPr>
            <w:r>
              <w:t xml:space="preserve">25%</w:t>
            </w:r>
          </w:p>
        </w:tc>
        <w:tc>
          <w:tcPr/>
          <w:p>
            <w:pPr>
              <w:pStyle w:val="Compact"/>
              <w:jc w:val="left"/>
            </w:pPr>
            <w:r>
              <w:t xml:space="preserve">276,285.00</w:t>
            </w:r>
          </w:p>
        </w:tc>
        <w:tc>
          <w:tcPr/>
          <w:p>
            <w:pPr>
              <w:pStyle w:val="Compact"/>
              <w:jc w:val="left"/>
            </w:pPr>
            <w:r>
              <w:t xml:space="preserve">Upon acceptance of final report</w:t>
            </w:r>
          </w:p>
        </w:tc>
      </w:tr>
      <w:tr>
        <w:tc>
          <w:tcPr/>
          <w:p>
            <w:pPr>
              <w:pStyle w:val="Compact"/>
              <w:jc w:val="left"/>
            </w:pPr>
            <w:r>
              <w:t xml:space="preserve">Final acceptance &amp; knowledge transfer</w:t>
            </w:r>
          </w:p>
        </w:tc>
        <w:tc>
          <w:tcPr/>
          <w:p>
            <w:pPr>
              <w:pStyle w:val="Compact"/>
              <w:jc w:val="left"/>
            </w:pPr>
            <w:r>
              <w:t xml:space="preserve">20%</w:t>
            </w:r>
          </w:p>
        </w:tc>
        <w:tc>
          <w:tcPr/>
          <w:p>
            <w:pPr>
              <w:pStyle w:val="Compact"/>
              <w:jc w:val="left"/>
            </w:pPr>
            <w:r>
              <w:t xml:space="preserve">221,028.00</w:t>
            </w:r>
          </w:p>
        </w:tc>
        <w:tc>
          <w:tcPr/>
          <w:p>
            <w:pPr>
              <w:pStyle w:val="Compact"/>
              <w:jc w:val="left"/>
            </w:pPr>
            <w:r>
              <w:t xml:space="preserve">Within 15 days of project closeout</w:t>
            </w:r>
          </w:p>
        </w:tc>
      </w:tr>
    </w:tbl>
    <w:p>
      <w:pPr>
        <w:pStyle w:val="BodyText"/>
      </w:pPr>
      <w:r>
        <w:t xml:space="preserve">5. Terms and Conditions</w:t>
      </w:r>
    </w:p>
    <w:p>
      <w:pPr>
        <w:numPr>
          <w:ilvl w:val="0"/>
          <w:numId w:val="1002"/>
        </w:numPr>
        <w:pStyle w:val="Compact"/>
      </w:pPr>
      <w:r>
        <w:t xml:space="preserve">This Quotation Estimate is valid for ninety (90) calendar days from the date of issue. After the expiry date, all rates and availability of the Aerospace Engineer must be reconfirmed in writing.</w:t>
      </w:r>
    </w:p>
    <w:p>
      <w:pPr>
        <w:numPr>
          <w:ilvl w:val="0"/>
          <w:numId w:val="1002"/>
        </w:numPr>
        <w:pStyle w:val="Compact"/>
      </w:pPr>
      <w:r>
        <w:t xml:space="preserve">The Aerospace Engineer shall comply with all applicable laws and regulations of the People's Republic of China, including the Civil Aviation Law of the PRC and data security provisions under the Cybersecurity Law.</w:t>
      </w:r>
    </w:p>
    <w:p>
      <w:pPr>
        <w:numPr>
          <w:ilvl w:val="0"/>
          <w:numId w:val="1002"/>
        </w:numPr>
        <w:pStyle w:val="Compact"/>
      </w:pPr>
      <w:r>
        <w:t xml:space="preserve">All intellectual property generated during the course of this engagement in China Shanghai shall be the sole property of the client, unless otherwise agreed in a separate IP assignment agreement.</w:t>
      </w:r>
    </w:p>
    <w:p>
      <w:pPr>
        <w:numPr>
          <w:ilvl w:val="0"/>
          <w:numId w:val="1002"/>
        </w:numPr>
        <w:pStyle w:val="Compact"/>
      </w:pPr>
      <w:r>
        <w:t xml:space="preserve">Confidentiality: Both parties agree to maintain strict confidentiality of all technical data, design documents, and proprietary information exchanged during the project. This obligation survives for five (5) years after project completion.</w:t>
      </w:r>
    </w:p>
    <w:p>
      <w:pPr>
        <w:numPr>
          <w:ilvl w:val="0"/>
          <w:numId w:val="1002"/>
        </w:numPr>
        <w:pStyle w:val="Compact"/>
      </w:pPr>
      <w:r>
        <w:t xml:space="preserve">Force Majeure: Neither party shall be liable for delays or non-performance caused by events beyond reasonable control, including but not limited to natural disasters, government-mandated shutdowns, or public health emergencies affecting China Shanghai.</w:t>
      </w:r>
    </w:p>
    <w:p>
      <w:pPr>
        <w:numPr>
          <w:ilvl w:val="0"/>
          <w:numId w:val="1002"/>
        </w:numPr>
        <w:pStyle w:val="Compact"/>
      </w:pPr>
      <w:r>
        <w:t xml:space="preserve">Dispute Resolution: Any disputes arising from this Quotation Estimate or the resulting contract shall be resolved through arbitration under the Shanghai International Economic and Trade Arbitration Commission (SHIAC) in accordance with its rules in effect at the time of filing.</w:t>
      </w:r>
    </w:p>
    <w:p>
      <w:pPr>
        <w:numPr>
          <w:ilvl w:val="0"/>
          <w:numId w:val="1002"/>
        </w:numPr>
        <w:pStyle w:val="Compact"/>
      </w:pPr>
      <w:r>
        <w:t xml:space="preserve">Termination: Either party may terminate the engagement with thirty (30) days' written notice. In such case, the client shall pay for all services rendered up to the termination date as reflected in this Quotation Estimate.</w:t>
      </w:r>
    </w:p>
    <w:p>
      <w:pPr>
        <w:numPr>
          <w:ilvl w:val="0"/>
          <w:numId w:val="1002"/>
        </w:numPr>
        <w:pStyle w:val="Compact"/>
      </w:pPr>
      <w:r>
        <w:t xml:space="preserve">This Quotation Estimate does not constitute a binding contract until both parties have executed a formal Service Agreement referencing Quotation Estimate No. QTE-2025-SH-0472.</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pricing outlined herein for the engagement of the Aerospace Engineer in China Shanghai.</w:t>
      </w:r>
    </w:p>
    <w:p>
      <w:pPr>
        <w:pStyle w:val="BodyText"/>
      </w:pPr>
      <w:r>
        <w:rPr>
          <w:bCs/>
          <w:b/>
        </w:rPr>
        <w:t xml:space="preserve">For Shanghai AeroTech Engineering Solutions Co., Ltd.</w:t>
      </w:r>
    </w:p>
    <w:p>
      <w:pPr>
        <w:pStyle w:val="BodyText"/>
      </w:pPr>
      <w:r>
        <w:t xml:space="preserve">Name: ___________________________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 End of Quotation Estimate QTE-2025-SH-0472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China Shanghai</dc:title>
  <dc:creator/>
  <dc:language>en</dc:language>
  <cp:keywords/>
  <dcterms:created xsi:type="dcterms:W3CDTF">2026-10-10T02:31:31Z</dcterms:created>
  <dcterms:modified xsi:type="dcterms:W3CDTF">2026-10-10T02:31:31Z</dcterms:modified>
</cp:coreProperties>
</file>

<file path=docProps/custom.xml><?xml version="1.0" encoding="utf-8"?>
<Properties xmlns="http://schemas.openxmlformats.org/officeDocument/2006/custom-properties" xmlns:vt="http://schemas.openxmlformats.org/officeDocument/2006/docPropsVTypes"/>
</file>