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Aerospace Engineering Services — Colombia Bogotá</w:t>
      </w:r>
    </w:p>
    <w:bookmarkEnd w:id="20"/>
    <w:bookmarkStart w:id="21" w:name="service-provider"/>
    <w:p>
      <w:pPr>
        <w:pStyle w:val="Heading3"/>
      </w:pPr>
      <w:r>
        <w:t xml:space="preserve">Service Provider</w:t>
      </w:r>
    </w:p>
    <w:p>
      <w:pPr>
        <w:pStyle w:val="FirstParagraph"/>
      </w:pPr>
      <w:r>
        <w:rPr>
          <w:bCs/>
          <w:b/>
        </w:rPr>
        <w:t xml:space="preserve">AeroTech Consulting Group S.A.S.</w:t>
      </w:r>
    </w:p>
    <w:p>
      <w:pPr>
        <w:pStyle w:val="BodyText"/>
      </w:pPr>
      <w:r>
        <w:t xml:space="preserve">Cra. 15 # 93-45, Of. 1201</w:t>
      </w:r>
    </w:p>
    <w:p>
      <w:pPr>
        <w:pStyle w:val="BodyText"/>
      </w:pPr>
      <w:r>
        <w:t xml:space="preserve">Chapinero, Bogotá D.C., Colombia</w:t>
      </w:r>
    </w:p>
    <w:p>
      <w:pPr>
        <w:pStyle w:val="BodyText"/>
      </w:pPr>
      <w:r>
        <w:t xml:space="preserve">NIT: 901.234.567-8</w:t>
      </w:r>
    </w:p>
    <w:p>
      <w:pPr>
        <w:pStyle w:val="BodyText"/>
      </w:pPr>
      <w:r>
        <w:t xml:space="preserve">contact@aerotechconsulting.co</w:t>
      </w:r>
    </w:p>
    <w:p>
      <w:pPr>
        <w:pStyle w:val="BodyText"/>
      </w:pPr>
      <w:r>
        <w:t xml:space="preserve">+57 (601) 743 8821</w:t>
      </w:r>
    </w:p>
    <w:bookmarkEnd w:id="21"/>
    <w:bookmarkStart w:id="22" w:name="client-recipient"/>
    <w:p>
      <w:pPr>
        <w:pStyle w:val="Heading3"/>
      </w:pPr>
      <w:r>
        <w:t xml:space="preserve">Client / Recipient</w:t>
      </w:r>
    </w:p>
    <w:p>
      <w:pPr>
        <w:pStyle w:val="FirstParagraph"/>
      </w:pPr>
      <w:r>
        <w:rPr>
          <w:bCs/>
          <w:b/>
        </w:rPr>
        <w:t xml:space="preserve">Avianca S.A. — Engineering Division</w:t>
      </w:r>
    </w:p>
    <w:p>
      <w:pPr>
        <w:pStyle w:val="BodyText"/>
      </w:pPr>
      <w:r>
        <w:t xml:space="preserve">Av. El Dorado, Terminal 1</w:t>
      </w:r>
    </w:p>
    <w:p>
      <w:pPr>
        <w:pStyle w:val="BodyText"/>
      </w:pPr>
      <w:r>
        <w:t xml:space="preserve">Bogotá D.C., Colombia</w:t>
      </w:r>
    </w:p>
    <w:p>
      <w:pPr>
        <w:pStyle w:val="BodyText"/>
      </w:pPr>
      <w:r>
        <w:t xml:space="preserve">Attn: Ing. Carolina Restrepo</w:t>
      </w:r>
    </w:p>
    <w:p>
      <w:pPr>
        <w:pStyle w:val="BodyText"/>
      </w:pPr>
      <w:r>
        <w:t xml:space="preserve">Director of Technical Operations</w:t>
      </w:r>
    </w:p>
    <w:p>
      <w:pPr>
        <w:pStyle w:val="BodyText"/>
      </w:pPr>
      <w:r>
        <w:t xml:space="preserve">engineering@avianca.co</w:t>
      </w:r>
    </w:p>
    <w:bookmarkEnd w:id="22"/>
    <w:p>
      <w:pPr>
        <w:pStyle w:val="BodyText"/>
      </w:pPr>
      <w:r>
        <w:t xml:space="preserve">Quotation No.: QTE-2025-04871</w:t>
      </w:r>
      <w:r>
        <w:t xml:space="preserve"> </w:t>
      </w:r>
      <w:r>
        <w:t xml:space="preserve">Date of Issue: June 12, 2025</w:t>
      </w:r>
      <w:r>
        <w:t xml:space="preserve"> </w:t>
      </w:r>
      <w:r>
        <w:t xml:space="preserve">Valid Until: July 12, 2025</w:t>
      </w:r>
      <w:r>
        <w:t xml:space="preserve"> </w:t>
      </w:r>
      <w:r>
        <w:t xml:space="preserve">Location: Colombia Bogotá</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AeroTech Consulting Group S.A.S. to provide a comprehensive cost breakdown for the engagement of a senior</w:t>
      </w:r>
      <w:r>
        <w:t xml:space="preserve"> </w:t>
      </w:r>
      <w:r>
        <w:t xml:space="preserve">Aerospace Engineer</w:t>
      </w:r>
      <w:r>
        <w:t xml:space="preserve"> </w:t>
      </w:r>
      <w:r>
        <w:t xml:space="preserve">to deliver specialized technical consulting services in</w:t>
      </w:r>
      <w:r>
        <w:t xml:space="preserve"> </w:t>
      </w:r>
      <w:r>
        <w:t xml:space="preserve">Colombia Bogotá</w:t>
      </w:r>
      <w:r>
        <w:t xml:space="preserve">. The scope encompasses structural analysis, aerodynamic optimization, propulsion system evaluation, and compliance auditing in accordance with ICAO standards and Colombian aviation regulations established by Aeronáutica Civil de Colombia.</w:t>
      </w:r>
    </w:p>
    <w:p>
      <w:pPr>
        <w:pStyle w:val="BodyText"/>
      </w:pPr>
      <w:r>
        <w:t xml:space="preserve">The</w:t>
      </w:r>
      <w:r>
        <w:t xml:space="preserve"> </w:t>
      </w:r>
      <w:r>
        <w:t xml:space="preserve">Aerospace Engineer</w:t>
      </w:r>
      <w:r>
        <w:t xml:space="preserve"> </w:t>
      </w:r>
      <w:r>
        <w:t xml:space="preserve">assigned to this project will operate primarily from the client's facilities in Bogotá D.C., with occasional travel to regional airports within Colombia as required by the project timeline. All deliverables will be produced in both English and Spanish to ensure full regulatory compliance and internal stakeholder accessibility within the Colombia Bogotá aviation sector.</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Aerospace Engineer — Structural Integrity Assessment of A320 fleet components (on-site, Colombia Bogotá)</w:t>
            </w:r>
          </w:p>
        </w:tc>
        <w:tc>
          <w:tcPr/>
          <w:p>
            <w:pPr>
              <w:pStyle w:val="Compact"/>
              <w:jc w:val="left"/>
            </w:pPr>
            <w:r>
              <w:t xml:space="preserve">40 hours</w:t>
            </w:r>
          </w:p>
        </w:tc>
        <w:tc>
          <w:tcPr/>
          <w:p>
            <w:pPr>
              <w:pStyle w:val="Compact"/>
              <w:jc w:val="left"/>
            </w:pPr>
            <w:r>
              <w:t xml:space="preserve">480,000</w:t>
            </w:r>
          </w:p>
        </w:tc>
        <w:tc>
          <w:tcPr/>
          <w:p>
            <w:pPr>
              <w:pStyle w:val="Compact"/>
              <w:jc w:val="left"/>
            </w:pPr>
            <w:r>
              <w:t xml:space="preserve">19,200,000</w:t>
            </w:r>
          </w:p>
        </w:tc>
      </w:tr>
      <w:tr>
        <w:tc>
          <w:tcPr/>
          <w:p>
            <w:pPr>
              <w:pStyle w:val="Compact"/>
              <w:jc w:val="left"/>
            </w:pPr>
            <w:r>
              <w:t xml:space="preserve">02</w:t>
            </w:r>
          </w:p>
        </w:tc>
        <w:tc>
          <w:tcPr/>
          <w:p>
            <w:pPr>
              <w:pStyle w:val="Compact"/>
              <w:jc w:val="left"/>
            </w:pPr>
            <w:r>
              <w:t xml:space="preserve">Aerodynamic Performance Optimization — Computational Fluid Dynamics (CFD) modeling and wind tunnel correlation</w:t>
            </w:r>
          </w:p>
        </w:tc>
        <w:tc>
          <w:tcPr/>
          <w:p>
            <w:pPr>
              <w:pStyle w:val="Compact"/>
              <w:jc w:val="left"/>
            </w:pPr>
            <w:r>
              <w:t xml:space="preserve">60 hours</w:t>
            </w:r>
          </w:p>
        </w:tc>
        <w:tc>
          <w:tcPr/>
          <w:p>
            <w:pPr>
              <w:pStyle w:val="Compact"/>
              <w:jc w:val="left"/>
            </w:pPr>
            <w:r>
              <w:t xml:space="preserve">520,000</w:t>
            </w:r>
          </w:p>
        </w:tc>
        <w:tc>
          <w:tcPr/>
          <w:p>
            <w:pPr>
              <w:pStyle w:val="Compact"/>
              <w:jc w:val="left"/>
            </w:pPr>
            <w:r>
              <w:t xml:space="preserve">31,200,000</w:t>
            </w:r>
          </w:p>
        </w:tc>
      </w:tr>
      <w:tr>
        <w:tc>
          <w:tcPr/>
          <w:p>
            <w:pPr>
              <w:pStyle w:val="Compact"/>
              <w:jc w:val="left"/>
            </w:pPr>
            <w:r>
              <w:t xml:space="preserve">03</w:t>
            </w:r>
          </w:p>
        </w:tc>
        <w:tc>
          <w:tcPr/>
          <w:p>
            <w:pPr>
              <w:pStyle w:val="Compact"/>
              <w:jc w:val="left"/>
            </w:pPr>
            <w:r>
              <w:t xml:space="preserve">Propulsion System Diagnostic — Turbine engine health monitoring and predictive maintenance protocol design</w:t>
            </w:r>
          </w:p>
        </w:tc>
        <w:tc>
          <w:tcPr/>
          <w:p>
            <w:pPr>
              <w:pStyle w:val="Compact"/>
              <w:jc w:val="left"/>
            </w:pPr>
            <w:r>
              <w:t xml:space="preserve">35 hours</w:t>
            </w:r>
          </w:p>
        </w:tc>
        <w:tc>
          <w:tcPr/>
          <w:p>
            <w:pPr>
              <w:pStyle w:val="Compact"/>
              <w:jc w:val="left"/>
            </w:pPr>
            <w:r>
              <w:t xml:space="preserve">550,000</w:t>
            </w:r>
          </w:p>
        </w:tc>
        <w:tc>
          <w:tcPr/>
          <w:p>
            <w:pPr>
              <w:pStyle w:val="Compact"/>
              <w:jc w:val="left"/>
            </w:pPr>
            <w:r>
              <w:t xml:space="preserve">19,250,000</w:t>
            </w:r>
          </w:p>
        </w:tc>
      </w:tr>
      <w:tr>
        <w:tc>
          <w:tcPr/>
          <w:p>
            <w:pPr>
              <w:pStyle w:val="Compact"/>
              <w:jc w:val="left"/>
            </w:pPr>
            <w:r>
              <w:t xml:space="preserve">04</w:t>
            </w:r>
          </w:p>
        </w:tc>
        <w:tc>
          <w:tcPr/>
          <w:p>
            <w:pPr>
              <w:pStyle w:val="Compact"/>
              <w:jc w:val="left"/>
            </w:pPr>
            <w:r>
              <w:t xml:space="preserve">Regulatory Compliance Audit — ICAO Annex 8 and Colombian Aeronáutica Civil certification support</w:t>
            </w:r>
          </w:p>
        </w:tc>
        <w:tc>
          <w:tcPr/>
          <w:p>
            <w:pPr>
              <w:pStyle w:val="Compact"/>
              <w:jc w:val="left"/>
            </w:pPr>
            <w:r>
              <w:t xml:space="preserve">25 hours</w:t>
            </w:r>
          </w:p>
        </w:tc>
        <w:tc>
          <w:tcPr/>
          <w:p>
            <w:pPr>
              <w:pStyle w:val="Compact"/>
              <w:jc w:val="left"/>
            </w:pPr>
            <w:r>
              <w:t xml:space="preserve">460,000</w:t>
            </w:r>
          </w:p>
        </w:tc>
        <w:tc>
          <w:tcPr/>
          <w:p>
            <w:pPr>
              <w:pStyle w:val="Compact"/>
              <w:jc w:val="left"/>
            </w:pPr>
            <w:r>
              <w:t xml:space="preserve">11,500,000</w:t>
            </w:r>
          </w:p>
        </w:tc>
      </w:tr>
      <w:tr>
        <w:tc>
          <w:tcPr/>
          <w:p>
            <w:pPr>
              <w:pStyle w:val="Compact"/>
              <w:jc w:val="left"/>
            </w:pPr>
            <w:r>
              <w:t xml:space="preserve">05</w:t>
            </w:r>
          </w:p>
        </w:tc>
        <w:tc>
          <w:tcPr/>
          <w:p>
            <w:pPr>
              <w:pStyle w:val="Compact"/>
              <w:jc w:val="left"/>
            </w:pPr>
            <w:r>
              <w:t xml:space="preserve">Technical Documentation &amp; Reporting — Final engineering reports, design specifications, and maintenance manuals (bilingual)</w:t>
            </w:r>
          </w:p>
        </w:tc>
        <w:tc>
          <w:tcPr/>
          <w:p>
            <w:pPr>
              <w:pStyle w:val="Compact"/>
              <w:jc w:val="left"/>
            </w:pPr>
            <w:r>
              <w:t xml:space="preserve">30 hours</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06</w:t>
            </w:r>
          </w:p>
        </w:tc>
        <w:tc>
          <w:tcPr/>
          <w:p>
            <w:pPr>
              <w:pStyle w:val="Compact"/>
              <w:jc w:val="left"/>
            </w:pPr>
            <w:r>
              <w:t xml:space="preserve">Project Management &amp; Coordination — Weekly progress meetings, stakeholder reporting, and schedule oversight in Colombia Bogotá</w:t>
            </w:r>
          </w:p>
        </w:tc>
        <w:tc>
          <w:tcPr/>
          <w:p>
            <w:pPr>
              <w:pStyle w:val="Compact"/>
              <w:jc w:val="left"/>
            </w:pPr>
            <w:r>
              <w:t xml:space="preserve">20 hours</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Travel &amp; Accommodation Allowance — Regional airport site visits within Colombia (estimated 4 trips)</w:t>
            </w:r>
          </w:p>
        </w:tc>
        <w:tc>
          <w:tcPr/>
          <w:p>
            <w:pPr>
              <w:pStyle w:val="Compact"/>
              <w:jc w:val="left"/>
            </w:pPr>
            <w:r>
              <w:t xml:space="preserve">4 trips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08</w:t>
            </w:r>
          </w:p>
        </w:tc>
        <w:tc>
          <w:tcPr/>
          <w:p>
            <w:pPr>
              <w:pStyle w:val="Compact"/>
              <w:jc w:val="left"/>
            </w:pPr>
            <w:r>
              <w:t xml:space="preserve">Software Licensing &amp; Simulation Tools — CATIA, ANSYS, and MATLAB Professional licenses (project duration)</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Subtotal (COP)</w:t>
            </w:r>
          </w:p>
        </w:tc>
        <w:tc>
          <w:tcPr/>
          <w:p>
            <w:pPr>
              <w:pStyle w:val="Compact"/>
              <w:jc w:val="left"/>
            </w:pPr>
            <w:r>
              <w:t xml:space="preserve">120,650,000</w:t>
            </w:r>
          </w:p>
        </w:tc>
      </w:tr>
      <w:tr>
        <w:tc>
          <w:tcPr>
            <w:gridSpan w:val="4"/>
          </w:tcPr>
          <w:p>
            <w:pPr>
              <w:pStyle w:val="Compact"/>
              <w:jc w:val="left"/>
            </w:pPr>
            <w:r>
              <w:t xml:space="preserve">IVA (19% VAT — Colombian Tax Code)</w:t>
            </w:r>
          </w:p>
        </w:tc>
        <w:tc>
          <w:tcPr/>
          <w:p>
            <w:pPr>
              <w:pStyle w:val="Compact"/>
              <w:jc w:val="left"/>
            </w:pPr>
            <w:r>
              <w:t xml:space="preserve">22,923,500</w:t>
            </w:r>
          </w:p>
        </w:tc>
      </w:tr>
      <w:tr>
        <w:tc>
          <w:tcPr>
            <w:gridSpan w:val="4"/>
          </w:tcPr>
          <w:p>
            <w:pPr>
              <w:pStyle w:val="Compact"/>
              <w:jc w:val="left"/>
            </w:pPr>
            <w:r>
              <w:rPr>
                <w:bCs/>
                <w:b/>
              </w:rPr>
              <w:t xml:space="preserve">TOTAL ESTIMATED COST (COP)</w:t>
            </w:r>
          </w:p>
        </w:tc>
        <w:tc>
          <w:tcPr/>
          <w:p>
            <w:pPr>
              <w:pStyle w:val="Compact"/>
              <w:jc w:val="left"/>
            </w:pPr>
            <w:r>
              <w:rPr>
                <w:bCs/>
                <w:b/>
              </w:rPr>
              <w:t xml:space="preserve">143,573,500</w:t>
            </w:r>
          </w:p>
        </w:tc>
      </w:tr>
      <w:tr>
        <w:tc>
          <w:tcPr>
            <w:gridSpan w:val="4"/>
          </w:tcPr>
          <w:p>
            <w:pPr>
              <w:pStyle w:val="Compact"/>
              <w:jc w:val="left"/>
            </w:pPr>
            <w:r>
              <w:rPr>
                <w:bCs/>
                <w:b/>
              </w:rPr>
              <w:t xml:space="preserve">TOTAL ESTIMATED COST (USD, approx. at 4,100 COP/USD)</w:t>
            </w:r>
          </w:p>
        </w:tc>
        <w:tc>
          <w:tcPr/>
          <w:p>
            <w:pPr>
              <w:pStyle w:val="Compact"/>
              <w:jc w:val="left"/>
            </w:pPr>
            <w:r>
              <w:rPr>
                <w:bCs/>
                <w:b/>
              </w:rPr>
              <w:t xml:space="preserve">US$ 35,018.00</w:t>
            </w:r>
          </w:p>
        </w:tc>
      </w:tr>
    </w:tbl>
    <w:bookmarkEnd w:id="24"/>
    <w:bookmarkStart w:id="25" w:name="Xaf47759f024755dbd3a40c61584a384a438baab"/>
    <w:p>
      <w:pPr>
        <w:pStyle w:val="Heading2"/>
      </w:pPr>
      <w:r>
        <w:t xml:space="preserve">3. Aerospace Engineer Qualifications and Profile</w:t>
      </w:r>
    </w:p>
    <w:p>
      <w:pPr>
        <w:pStyle w:val="FirstParagraph"/>
      </w:pPr>
      <w:r>
        <w:t xml:space="preserve">The</w:t>
      </w:r>
      <w:r>
        <w:t xml:space="preserve"> </w:t>
      </w:r>
      <w:r>
        <w:t xml:space="preserve">Aerospace Engineer</w:t>
      </w:r>
      <w:r>
        <w:t xml:space="preserve"> </w:t>
      </w:r>
      <w:r>
        <w:t xml:space="preserve">proposed for this engagement holds a Master's degree in Aerospace Engineering from a recognized institution, with a minimum of twelve (12) years of progressive experience in commercial aviation structural analysis, aerodynamics, and propulsion systems. The engineer is certified by the Colombian Aeronáutica Civil as a Designated Engineering Representative (DER) and maintains active membership in the Colombian Association of Aerospace Engineers (ACIAE). Prior project experience includes fleet modernization programs for Latin American carriers and compliance audits conducted in Colombia Bogotá and other regional hubs.</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w:t>
      </w:r>
    </w:p>
    <w:p>
      <w:pPr>
        <w:numPr>
          <w:ilvl w:val="0"/>
          <w:numId w:val="1001"/>
        </w:numPr>
        <w:pStyle w:val="Compact"/>
      </w:pPr>
      <w:r>
        <w:t xml:space="preserve">Payment terms: 40% advance upon contract execution, 35% upon completion of the structural and aerodynamic phases, and 25% upon final delivery and acceptance of all documentation in Colombia Bogotá.</w:t>
      </w:r>
    </w:p>
    <w:p>
      <w:pPr>
        <w:numPr>
          <w:ilvl w:val="0"/>
          <w:numId w:val="1001"/>
        </w:numPr>
        <w:pStyle w:val="Compact"/>
      </w:pPr>
      <w:r>
        <w:t xml:space="preserve">All invoices will be issued in Colombian Pesos (COP) in compliance with the Colombian tax authority (DIAN) regulations. The Aerospace Engineer's professional services are subject to the applicable withholding tax (retención en la fuente) as mandated by Colombian law.</w:t>
      </w:r>
    </w:p>
    <w:p>
      <w:pPr>
        <w:numPr>
          <w:ilvl w:val="0"/>
          <w:numId w:val="1001"/>
        </w:numPr>
        <w:pStyle w:val="Compact"/>
      </w:pPr>
      <w:r>
        <w:t xml:space="preserve">Any scope modifications exceeding 10% of the originally estimated hours will require a formal amendment to this Quotation Estimate, signed by both parties before additional work commences.</w:t>
      </w:r>
    </w:p>
    <w:p>
      <w:pPr>
        <w:numPr>
          <w:ilvl w:val="0"/>
          <w:numId w:val="1001"/>
        </w:numPr>
        <w:pStyle w:val="Compact"/>
      </w:pPr>
      <w:r>
        <w:t xml:space="preserve">Confidentiality: All technical data, proprietary designs, and operational information shared during the engagement in Colombia Bogotá shall be treated as strictly confidential and protected under a mutual Non-Disclosure Agreement (NDA) executed prior to project initiation.</w:t>
      </w:r>
    </w:p>
    <w:p>
      <w:pPr>
        <w:numPr>
          <w:ilvl w:val="0"/>
          <w:numId w:val="1001"/>
        </w:numPr>
        <w:pStyle w:val="Compact"/>
      </w:pPr>
      <w:r>
        <w:t xml:space="preserve">Intellectual property generated specifically for the client under this contract shall remain the sole property of the client. Pre-existing methodologies, tools, and frameworks of the Aerospace Engineer remain the property of AeroTech Consulting Group S.A.S.</w:t>
      </w:r>
    </w:p>
    <w:p>
      <w:pPr>
        <w:numPr>
          <w:ilvl w:val="0"/>
          <w:numId w:val="1001"/>
        </w:numPr>
        <w:pStyle w:val="Compact"/>
      </w:pPr>
      <w:r>
        <w:t xml:space="preserve">Force majeure events, including but not limited to natural disasters, government-mandated shutdowns, or aviation regulatory suspensions in Colombia, shall suspend project timelines without penalty to either party.</w:t>
      </w:r>
    </w:p>
    <w:p>
      <w:pPr>
        <w:numPr>
          <w:ilvl w:val="0"/>
          <w:numId w:val="1001"/>
        </w:numPr>
        <w:pStyle w:val="Compact"/>
      </w:pPr>
      <w:r>
        <w:t xml:space="preserve">Disputes arising from this Quotation Estimate shall be resolved through binding arbitration in Bogotá D.C., Colombia, in accordance with the rules of the Centro de Arbitraje y Conciliación de la Cámara de Comercio de Bogotá.</w:t>
      </w:r>
    </w:p>
    <w:bookmarkEnd w:id="26"/>
    <w:bookmarkStart w:id="27" w:name="project-timeline-summary"/>
    <w:p>
      <w:pPr>
        <w:pStyle w:val="Heading2"/>
      </w:pPr>
      <w:r>
        <w:t xml:space="preserve">5. Project Timeline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Phase 1 — Structural Assessment</w:t>
            </w:r>
          </w:p>
        </w:tc>
        <w:tc>
          <w:tcPr/>
          <w:p>
            <w:pPr>
              <w:pStyle w:val="Compact"/>
              <w:jc w:val="left"/>
            </w:pPr>
            <w:r>
              <w:t xml:space="preserve">July 1, 2025</w:t>
            </w:r>
          </w:p>
        </w:tc>
        <w:tc>
          <w:tcPr/>
          <w:p>
            <w:pPr>
              <w:pStyle w:val="Compact"/>
              <w:jc w:val="left"/>
            </w:pPr>
            <w:r>
              <w:t xml:space="preserve">July 25, 2025</w:t>
            </w:r>
          </w:p>
        </w:tc>
        <w:tc>
          <w:tcPr/>
          <w:p>
            <w:pPr>
              <w:pStyle w:val="Compact"/>
              <w:jc w:val="left"/>
            </w:pPr>
            <w:r>
              <w:t xml:space="preserve">Bogotá D.C., Colombia</w:t>
            </w:r>
          </w:p>
        </w:tc>
      </w:tr>
      <w:tr>
        <w:tc>
          <w:tcPr/>
          <w:p>
            <w:pPr>
              <w:pStyle w:val="Compact"/>
              <w:jc w:val="left"/>
            </w:pPr>
            <w:r>
              <w:t xml:space="preserve">Phase 2 — Aerodynamic Optimization</w:t>
            </w:r>
          </w:p>
        </w:tc>
        <w:tc>
          <w:tcPr/>
          <w:p>
            <w:pPr>
              <w:pStyle w:val="Compact"/>
              <w:jc w:val="left"/>
            </w:pPr>
            <w:r>
              <w:t xml:space="preserve">July 28, 2025</w:t>
            </w:r>
          </w:p>
        </w:tc>
        <w:tc>
          <w:tcPr/>
          <w:p>
            <w:pPr>
              <w:pStyle w:val="Compact"/>
              <w:jc w:val="left"/>
            </w:pPr>
            <w:r>
              <w:t xml:space="preserve">August 29, 2025</w:t>
            </w:r>
          </w:p>
        </w:tc>
        <w:tc>
          <w:tcPr/>
          <w:p>
            <w:pPr>
              <w:pStyle w:val="Compact"/>
              <w:jc w:val="left"/>
            </w:pPr>
            <w:r>
              <w:t xml:space="preserve">Bogotá D.C., Colombia</w:t>
            </w:r>
          </w:p>
        </w:tc>
      </w:tr>
      <w:tr>
        <w:tc>
          <w:tcPr/>
          <w:p>
            <w:pPr>
              <w:pStyle w:val="Compact"/>
              <w:jc w:val="left"/>
            </w:pPr>
            <w:r>
              <w:t xml:space="preserve">Phase 3 — Propulsion Diagnostics</w:t>
            </w:r>
          </w:p>
        </w:tc>
        <w:tc>
          <w:tcPr/>
          <w:p>
            <w:pPr>
              <w:pStyle w:val="Compact"/>
              <w:jc w:val="left"/>
            </w:pPr>
            <w:r>
              <w:t xml:space="preserve">September 1, 2025</w:t>
            </w:r>
          </w:p>
        </w:tc>
        <w:tc>
          <w:tcPr/>
          <w:p>
            <w:pPr>
              <w:pStyle w:val="Compact"/>
              <w:jc w:val="left"/>
            </w:pPr>
            <w:r>
              <w:t xml:space="preserve">September 26, 2025</w:t>
            </w:r>
          </w:p>
        </w:tc>
        <w:tc>
          <w:tcPr/>
          <w:p>
            <w:pPr>
              <w:pStyle w:val="Compact"/>
              <w:jc w:val="left"/>
            </w:pPr>
            <w:r>
              <w:t xml:space="preserve">Bogotá D.C. / Regional</w:t>
            </w:r>
          </w:p>
        </w:tc>
      </w:tr>
      <w:tr>
        <w:tc>
          <w:tcPr/>
          <w:p>
            <w:pPr>
              <w:pStyle w:val="Compact"/>
              <w:jc w:val="left"/>
            </w:pPr>
            <w:r>
              <w:t xml:space="preserve">Phase 4 — Compliance &amp; Reporting</w:t>
            </w:r>
          </w:p>
        </w:tc>
        <w:tc>
          <w:tcPr/>
          <w:p>
            <w:pPr>
              <w:pStyle w:val="Compact"/>
              <w:jc w:val="left"/>
            </w:pPr>
            <w:r>
              <w:t xml:space="preserve">September 29, 2025</w:t>
            </w:r>
          </w:p>
        </w:tc>
        <w:tc>
          <w:tcPr/>
          <w:p>
            <w:pPr>
              <w:pStyle w:val="Compact"/>
              <w:jc w:val="left"/>
            </w:pPr>
            <w:r>
              <w:t xml:space="preserve">October 24, 2025</w:t>
            </w:r>
          </w:p>
        </w:tc>
        <w:tc>
          <w:tcPr/>
          <w:p>
            <w:pPr>
              <w:pStyle w:val="Compact"/>
              <w:jc w:val="left"/>
            </w:pPr>
            <w:r>
              <w:t xml:space="preserve">Bogotá D.C., Colombia</w:t>
            </w:r>
          </w:p>
        </w:tc>
      </w:tr>
    </w:tbl>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cost estimates outlined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in</w:t>
      </w:r>
      <w:r>
        <w:t xml:space="preserve"> </w:t>
      </w:r>
      <w:r>
        <w:t xml:space="preserve">Colombia Bogotá</w:t>
      </w:r>
      <w:r>
        <w:t xml:space="preserve">. This document constitutes a binding commercial proposal upon countersignature and does not constitute a final contract until a separate Master Service Agreement is executed.</w:t>
      </w:r>
    </w:p>
    <w:p>
      <w:pPr>
        <w:pStyle w:val="BodyText"/>
      </w:pPr>
      <w:r>
        <w:rPr>
          <w:bCs/>
          <w:b/>
        </w:rPr>
        <w:t xml:space="preserve">AeroTech Consulting Group S.A.S.</w:t>
      </w:r>
      <w:r>
        <w:br/>
      </w:r>
      <w:r>
        <w:t xml:space="preserve">Name: Ing. Ricardo Mendoza</w:t>
      </w:r>
      <w:r>
        <w:br/>
      </w:r>
      <w:r>
        <w:t xml:space="preserve">Title: Chief Aerospace Engineer / Director</w:t>
      </w:r>
      <w:r>
        <w:br/>
      </w:r>
      <w:r>
        <w:t xml:space="preserve">Date: _______________</w:t>
      </w:r>
    </w:p>
    <w:p>
      <w:pPr>
        <w:pStyle w:val="BodyText"/>
      </w:pPr>
      <w:r>
        <w:rPr>
          <w:bCs/>
          <w:b/>
        </w:rPr>
        <w:t xml:space="preserve">Avianca S.A. — Engineering Division</w:t>
      </w:r>
      <w:r>
        <w:br/>
      </w:r>
      <w:r>
        <w:t xml:space="preserve">Name: Ing. Carolina Restrepo</w:t>
      </w:r>
      <w:r>
        <w:br/>
      </w:r>
      <w:r>
        <w:t xml:space="preserve">Title: Director of Technical Operations</w:t>
      </w:r>
      <w:r>
        <w:br/>
      </w:r>
      <w:r>
        <w:t xml:space="preserve">Date: _______________</w:t>
      </w:r>
    </w:p>
    <w:p>
      <w:pPr>
        <w:pStyle w:val="BodyText"/>
      </w:pPr>
      <w:r>
        <w:t xml:space="preserve">This Quotation Estimate was prepared by AeroTech Consulting Group S.A.S. — Bogotá D.C., Colombia. Document Ref: QTE-2025-04871. Page 1 of 1.</w:t>
      </w:r>
    </w:p>
    <w:p>
      <w:pPr>
        <w:pStyle w:val="BodyText"/>
      </w:pPr>
      <w:r>
        <w:t xml:space="preserve">© 2025 AeroTech Consulting Group S.A.S. All rights reserved. NIT: 901.234.567-8 | Cra. 15 # 93-45, Bogotá D.C., Colombia.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Colombia Bogotá</dc:title>
  <dc:creator/>
  <dc:language>en</dc:language>
  <cp:keywords/>
  <dcterms:created xsi:type="dcterms:W3CDTF">2026-10-10T09:12:37Z</dcterms:created>
  <dcterms:modified xsi:type="dcterms:W3CDTF">2026-10-10T09:12:37Z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