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aerospace-engineering-consultants"/>
    <w:p>
      <w:pPr>
        <w:pStyle w:val="Heading1"/>
      </w:pPr>
      <w:r>
        <w:t xml:space="preserve">Nile Aerospace Engineering Consultants</w:t>
      </w:r>
    </w:p>
    <w:p>
      <w:pPr>
        <w:pStyle w:val="FirstParagraph"/>
      </w:pPr>
      <w:r>
        <w:t xml:space="preserve">12 Tahrir Square, Downtown, Egypt Cairo | Tel: +20 2 2578 4433 | Email: info@nile-aero-eg.com</w:t>
      </w:r>
    </w:p>
    <w:p>
      <w:pPr>
        <w:pStyle w:val="BodyText"/>
      </w:pPr>
      <w:r>
        <w:t xml:space="preserve">Commercial Registration No. 184729 | Tax ID: 552-884-102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QTE-2025-CAIRO-0472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Ahmed Hassan, Procurement Director, Egyptian Aviation Authority, Egypt Cairo</w:t>
            </w:r>
          </w:p>
        </w:tc>
      </w:tr>
      <w:tr>
        <w:tc>
          <w:tcPr/>
          <w:p>
            <w:pPr>
              <w:pStyle w:val="Compact"/>
              <w:jc w:val="left"/>
            </w:pPr>
            <w:r>
              <w:t xml:space="preserve">Project Reference:</w:t>
            </w:r>
          </w:p>
        </w:tc>
        <w:tc>
          <w:tcPr/>
          <w:p>
            <w:pPr>
              <w:pStyle w:val="Compact"/>
              <w:jc w:val="left"/>
            </w:pPr>
            <w:r>
              <w:t xml:space="preserve">EA-2025-DRONE-INSPECTION-009</w:t>
            </w:r>
          </w:p>
        </w:tc>
      </w:tr>
      <w:tr>
        <w:tc>
          <w:tcPr/>
          <w:p>
            <w:pPr>
              <w:pStyle w:val="Compact"/>
              <w:jc w:val="left"/>
            </w:pPr>
            <w:r>
              <w:t xml:space="preserve">Service Location:</w:t>
            </w:r>
          </w:p>
        </w:tc>
        <w:tc>
          <w:tcPr/>
          <w:p>
            <w:pPr>
              <w:pStyle w:val="Compact"/>
              <w:jc w:val="left"/>
            </w:pPr>
            <w:r>
              <w:t xml:space="preserve">Egypt Cairo, Giza Governorate, and surrounding operational zones</w:t>
            </w:r>
          </w:p>
        </w:tc>
      </w:tr>
    </w:tbl>
    <w:p>
      <w:pPr>
        <w:pStyle w:val="BodyText"/>
      </w:pPr>
      <w:r>
        <w:t xml:space="preserve">Dear Mr. Hassan,</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senior</w:t>
      </w:r>
      <w:r>
        <w:t xml:space="preserve"> </w:t>
      </w:r>
      <w:r>
        <w:rPr>
          <w:bCs/>
          <w:b/>
        </w:rPr>
        <w:t xml:space="preserve">Aerospace Engineer</w:t>
      </w:r>
      <w:r>
        <w:t xml:space="preserve"> </w:t>
      </w:r>
      <w:r>
        <w:t xml:space="preserve">to support the Egyptian Aviation Authority's unmanned aerial vehicle inspection and certification programme. This</w:t>
      </w:r>
      <w:r>
        <w:t xml:space="preserve"> </w:t>
      </w:r>
      <w:r>
        <w:rPr>
          <w:bCs/>
          <w:b/>
        </w:rPr>
        <w:t xml:space="preserve">Quotation Estimate</w:t>
      </w:r>
      <w:r>
        <w:t xml:space="preserve"> </w:t>
      </w:r>
      <w:r>
        <w:t xml:space="preserve">has been carefully prepared to reflect the full scope of professional services that our</w:t>
      </w:r>
      <w:r>
        <w:t xml:space="preserve"> </w:t>
      </w:r>
      <w:r>
        <w:rPr>
          <w:bCs/>
          <w:b/>
        </w:rPr>
        <w:t xml:space="preserve">Aerospace Engineer</w:t>
      </w:r>
      <w:r>
        <w:t xml:space="preserve"> </w:t>
      </w:r>
      <w:r>
        <w:t xml:space="preserve">will deliver while operating out of our principal office in</w:t>
      </w:r>
      <w:r>
        <w:t xml:space="preserve"> </w:t>
      </w:r>
      <w:r>
        <w:rPr>
          <w:bCs/>
          <w:b/>
        </w:rPr>
        <w:t xml:space="preserve">Egypt Cairo</w:t>
      </w:r>
      <w:r>
        <w:t xml:space="preserve">. We understand the critical nature of your project and have structured this</w:t>
      </w:r>
      <w:r>
        <w:t xml:space="preserve"> </w:t>
      </w:r>
      <w:r>
        <w:rPr>
          <w:bCs/>
          <w:b/>
        </w:rPr>
        <w:t xml:space="preserve">Quotation Estimate</w:t>
      </w:r>
      <w:r>
        <w:t xml:space="preserve"> </w:t>
      </w:r>
      <w:r>
        <w:t xml:space="preserve">to provide complete transparency regarding costs, deliverables, and timelines.</w:t>
      </w:r>
    </w:p>
    <w:p>
      <w:pPr>
        <w:pStyle w:val="BodyText"/>
      </w:pPr>
      <w:r>
        <w:t xml:space="preserve">Our</w:t>
      </w:r>
      <w:r>
        <w:t xml:space="preserve"> </w:t>
      </w:r>
      <w:r>
        <w:rPr>
          <w:bCs/>
          <w:b/>
        </w:rPr>
        <w:t xml:space="preserve">Aerospace Engineer</w:t>
      </w:r>
      <w:r>
        <w:t xml:space="preserve">, Dr. Khaled Mansour, holds a Doctorate in Aeronautical Engineering from Cairo University and possesses over eighteen years of experience in UAV systems design, flight dynamics analysis, and regulatory compliance within the Egyptian and broader Middle Eastern aviation sector. His expertise is particularly well-suited to the demands of this project, which requires on-site presence in</w:t>
      </w:r>
      <w:r>
        <w:t xml:space="preserve"> </w:t>
      </w:r>
      <w:r>
        <w:rPr>
          <w:bCs/>
          <w:b/>
        </w:rPr>
        <w:t xml:space="preserve">Egypt Cairo</w:t>
      </w:r>
      <w:r>
        <w:t xml:space="preserve"> </w:t>
      </w:r>
      <w:r>
        <w:t xml:space="preserve">and periodic travel to test facilities in the Giza and Suez Canal zones.</w:t>
      </w:r>
    </w:p>
    <w:bookmarkStart w:id="21" w:name="X2a1fe246806ffa3e8640531b64daed651571928"/>
    <w:p>
      <w:pPr>
        <w:pStyle w:val="Heading2"/>
      </w:pPr>
      <w:r>
        <w:t xml:space="preserve">Scope of Work – Aerospace Engineer Services</w:t>
      </w:r>
    </w:p>
    <w:p>
      <w:pPr>
        <w:pStyle w:val="FirstParagraph"/>
      </w:pPr>
      <w:r>
        <w:t xml:space="preserve">The following</w:t>
      </w:r>
      <w:r>
        <w:t xml:space="preserve"> </w:t>
      </w:r>
      <w:r>
        <w:rPr>
          <w:bCs/>
          <w:b/>
        </w:rPr>
        <w:t xml:space="preserve">Quotation Estimate</w:t>
      </w:r>
      <w:r>
        <w:t xml:space="preserve"> </w:t>
      </w:r>
      <w:r>
        <w:t xml:space="preserve">covers the comprehensive engagement of our</w:t>
      </w:r>
      <w:r>
        <w:t xml:space="preserve"> </w:t>
      </w:r>
      <w:r>
        <w:rPr>
          <w:bCs/>
          <w:b/>
        </w:rPr>
        <w:t xml:space="preserve">Aerospace Engineer</w:t>
      </w:r>
      <w:r>
        <w:t xml:space="preserve"> </w:t>
      </w:r>
      <w:r>
        <w:t xml:space="preserve">for a period of twelve (12) months, commencing upon written acceptance of this document. All services will be coordinated from our</w:t>
      </w:r>
      <w:r>
        <w:t xml:space="preserve"> </w:t>
      </w:r>
      <w:r>
        <w:rPr>
          <w:bCs/>
          <w:b/>
        </w:rPr>
        <w:t xml:space="preserve">Egypt Cairo</w:t>
      </w:r>
      <w:r>
        <w:t xml:space="preserve"> </w:t>
      </w:r>
      <w:r>
        <w:t xml:space="preserve">headquarters, with fieldwork conducted at locations specified by the Egyptian Aviation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UAV Structural Integrity Assessment – Full aerodynamic and structural review of three (3) drone airframes, including finite element analysis and material fatigue evaluation. Conducted at our Egypt Cairo laboratory facility.</w:t>
            </w:r>
          </w:p>
        </w:tc>
        <w:tc>
          <w:tcPr/>
          <w:p>
            <w:pPr>
              <w:pStyle w:val="Compact"/>
              <w:jc w:val="left"/>
            </w:pPr>
            <w:r>
              <w:t xml:space="preserve">Months 1–2</w:t>
            </w:r>
          </w:p>
        </w:tc>
        <w:tc>
          <w:tcPr/>
          <w:p>
            <w:pPr>
              <w:pStyle w:val="Compact"/>
              <w:jc w:val="left"/>
            </w:pPr>
            <w:r>
              <w:t xml:space="preserve">185,000 / month</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Flight Dynamics Modelling &amp; Simulation – Development of 6-DOF flight simulation models for certification purposes. The Aerospace Engineer will deliver validated simulation packages compliant with EAA Part 21 standards.</w:t>
            </w:r>
          </w:p>
        </w:tc>
        <w:tc>
          <w:tcPr/>
          <w:p>
            <w:pPr>
              <w:pStyle w:val="Compact"/>
              <w:jc w:val="left"/>
            </w:pPr>
            <w:r>
              <w:t xml:space="preserve">Months 2–4</w:t>
            </w:r>
          </w:p>
        </w:tc>
        <w:tc>
          <w:tcPr/>
          <w:p>
            <w:pPr>
              <w:pStyle w:val="Compact"/>
              <w:jc w:val="left"/>
            </w:pPr>
            <w:r>
              <w:t xml:space="preserve">210,000 / month</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On-Site Test Supervision in Egypt Cairo &amp; Giza – The Aerospace Engineer will supervise a minimum of twelve (12) flight test campaigns at designated airfields. Includes real-time telemetry analysis and post-flight debrief documentation.</w:t>
            </w:r>
          </w:p>
        </w:tc>
        <w:tc>
          <w:tcPr/>
          <w:p>
            <w:pPr>
              <w:pStyle w:val="Compact"/>
              <w:jc w:val="left"/>
            </w:pPr>
            <w:r>
              <w:t xml:space="preserve">Months 4–8</w:t>
            </w:r>
          </w:p>
        </w:tc>
        <w:tc>
          <w:tcPr/>
          <w:p>
            <w:pPr>
              <w:pStyle w:val="Compact"/>
              <w:jc w:val="left"/>
            </w:pPr>
            <w:r>
              <w:t xml:space="preserve">245,000 / month</w:t>
            </w:r>
          </w:p>
        </w:tc>
        <w:tc>
          <w:tcPr/>
          <w:p>
            <w:pPr>
              <w:pStyle w:val="Compact"/>
              <w:jc w:val="left"/>
            </w:pPr>
            <w:r>
              <w:t xml:space="preserve">1,078,000</w:t>
            </w:r>
          </w:p>
        </w:tc>
      </w:tr>
      <w:tr>
        <w:tc>
          <w:tcPr/>
          <w:p>
            <w:pPr>
              <w:pStyle w:val="Compact"/>
              <w:jc w:val="left"/>
            </w:pPr>
            <w:r>
              <w:t xml:space="preserve">4</w:t>
            </w:r>
          </w:p>
        </w:tc>
        <w:tc>
          <w:tcPr/>
          <w:p>
            <w:pPr>
              <w:pStyle w:val="Compact"/>
              <w:jc w:val="left"/>
            </w:pPr>
            <w:r>
              <w:t xml:space="preserve">Regulatory Compliance &amp; Certification Support – Preparation of technical dossiers, airworthiness documentation, and liaison with the Egyptian Civil Aviation Authority. The Aerospace Engineer will attend all mandatory review boards held in Egypt Cairo.</w:t>
            </w:r>
          </w:p>
        </w:tc>
        <w:tc>
          <w:tcPr/>
          <w:p>
            <w:pPr>
              <w:pStyle w:val="Compact"/>
              <w:jc w:val="left"/>
            </w:pPr>
            <w:r>
              <w:t xml:space="preserve">Months 6–10</w:t>
            </w:r>
          </w:p>
        </w:tc>
        <w:tc>
          <w:tcPr/>
          <w:p>
            <w:pPr>
              <w:pStyle w:val="Compact"/>
              <w:jc w:val="left"/>
            </w:pPr>
            <w:r>
              <w:t xml:space="preserve">195,000 / month</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Final Technical Report &amp; Knowledge Transfer – Comprehensive 200-page engineering report, training sessions for EAA staff (4 sessions × 8 hours), and handover of all simulation models and analysis files.</w:t>
            </w:r>
          </w:p>
        </w:tc>
        <w:tc>
          <w:tcPr/>
          <w:p>
            <w:pPr>
              <w:pStyle w:val="Compact"/>
              <w:jc w:val="left"/>
            </w:pPr>
            <w:r>
              <w:t xml:space="preserve">Months 10–12</w:t>
            </w:r>
          </w:p>
        </w:tc>
        <w:tc>
          <w:tcPr/>
          <w:p>
            <w:pPr>
              <w:pStyle w:val="Compact"/>
              <w:jc w:val="left"/>
            </w:pPr>
            <w:r>
              <w:t xml:space="preserve">160,000 / month</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&amp; Accommodation Allowance – Covers inter-city travel within Egypt Cairo metropolitan area, Giza, and Suez Canal Zone test sites. Includes per-diem for overnight stays at remote test locations.</w:t>
            </w:r>
          </w:p>
        </w:tc>
        <w:tc>
          <w:tcPr/>
          <w:p>
            <w:pPr>
              <w:pStyle w:val="Compact"/>
              <w:jc w:val="left"/>
            </w:pPr>
            <w:r>
              <w:t xml:space="preserve">Full 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Software Licences &amp; Computational Resources – Annual licences for ANSYS, MATLAB/Simulink, and X-Plane Pro required by the Aerospace Engineer for analysis and simulation tasks.</w:t>
            </w:r>
          </w:p>
        </w:tc>
        <w:tc>
          <w:tcPr/>
          <w:p>
            <w:pPr>
              <w:pStyle w:val="Compact"/>
              <w:jc w:val="left"/>
            </w:pPr>
            <w:r>
              <w:t xml:space="preserve">Full 12 months</w:t>
            </w:r>
          </w:p>
        </w:tc>
        <w:tc>
          <w:tcPr/>
          <w:p>
            <w:pPr>
              <w:pStyle w:val="Compact"/>
              <w:jc w:val="left"/>
            </w:pPr>
            <w:r>
              <w:t xml:space="preserve">38,000 / month</w:t>
            </w:r>
          </w:p>
        </w:tc>
        <w:tc>
          <w:tcPr/>
          <w:p>
            <w:pPr>
              <w:pStyle w:val="Compact"/>
              <w:jc w:val="left"/>
            </w:pPr>
            <w:r>
              <w:t xml:space="preserve">456,000</w:t>
            </w:r>
          </w:p>
        </w:tc>
      </w:tr>
      <w:tr>
        <w:tc>
          <w:tcPr>
            <w:gridSpan w:val="4"/>
          </w:tcPr>
          <w:p>
            <w:pPr>
              <w:pStyle w:val="Compact"/>
              <w:jc w:val="right"/>
            </w:pPr>
            <w:r>
              <w:t xml:space="preserve">Subtotal (EGP):</w:t>
            </w:r>
          </w:p>
        </w:tc>
        <w:tc>
          <w:tcPr/>
          <w:p>
            <w:pPr>
              <w:pStyle w:val="Compact"/>
              <w:jc w:val="left"/>
            </w:pPr>
            <w:r>
              <w:t xml:space="preserve">4,334,000</w:t>
            </w:r>
          </w:p>
        </w:tc>
      </w:tr>
      <w:tr>
        <w:tc>
          <w:tcPr>
            <w:gridSpan w:val="4"/>
          </w:tcPr>
          <w:p>
            <w:pPr>
              <w:pStyle w:val="Compact"/>
              <w:jc w:val="right"/>
            </w:pPr>
            <w:r>
              <w:t xml:space="preserve">VAT (14% – Egypt Standard Rate):</w:t>
            </w:r>
          </w:p>
        </w:tc>
        <w:tc>
          <w:tcPr/>
          <w:p>
            <w:pPr>
              <w:pStyle w:val="Compact"/>
              <w:jc w:val="left"/>
            </w:pPr>
            <w:r>
              <w:t xml:space="preserve">606,760</w:t>
            </w:r>
          </w:p>
        </w:tc>
      </w:tr>
      <w:tr>
        <w:tc>
          <w:tcPr>
            <w:gridSpan w:val="4"/>
          </w:tcPr>
          <w:p>
            <w:pPr>
              <w:pStyle w:val="Compact"/>
              <w:jc w:val="right"/>
            </w:pPr>
            <w:r>
              <w:t xml:space="preserve">TOTAL AMOUNT (EGP):</w:t>
            </w:r>
          </w:p>
        </w:tc>
        <w:tc>
          <w:tcPr/>
          <w:p>
            <w:pPr>
              <w:pStyle w:val="Compact"/>
              <w:jc w:val="left"/>
            </w:pPr>
            <w:r>
              <w:t xml:space="preserve">4,940,760</w:t>
            </w:r>
          </w:p>
        </w:tc>
      </w:tr>
    </w:tbl>
    <w:bookmarkEnd w:id="21"/>
    <w:bookmarkStart w:id="22" w:name="payment-terms"/>
    <w:p>
      <w:pPr>
        <w:pStyle w:val="Heading2"/>
      </w:pPr>
      <w:r>
        <w:t xml:space="preserve">Payment Terms</w:t>
      </w:r>
    </w:p>
    <w:p>
      <w:pPr>
        <w:pStyle w:val="FirstParagraph"/>
      </w:pPr>
      <w:r>
        <w:t xml:space="preserve">This</w:t>
      </w:r>
      <w:r>
        <w:t xml:space="preserve"> </w:t>
      </w:r>
      <w:r>
        <w:rPr>
          <w:bCs/>
          <w:b/>
        </w:rPr>
        <w:t xml:space="preserve">Quotation Estimate</w:t>
      </w:r>
      <w:r>
        <w:t xml:space="preserve"> </w:t>
      </w:r>
      <w:r>
        <w:t xml:space="preserve">is structured on a milestone-based payment schedule. The Egyptian Aviation Authority shall remit payment within thirty (30) days of invoice issuance, corresponding to the completion of each phase outlined above. A mobilisation advance of 20% of the total</w:t>
      </w:r>
      <w:r>
        <w:t xml:space="preserve"> </w:t>
      </w:r>
      <w:r>
        <w:rPr>
          <w:bCs/>
          <w:b/>
        </w:rPr>
        <w:t xml:space="preserve">Quotation Estimate</w:t>
      </w:r>
      <w:r>
        <w:t xml:space="preserve"> </w:t>
      </w:r>
      <w:r>
        <w:t xml:space="preserve">value shall be due upon contract signature. All payments shall be made in Egyptian Pounds (EGP) via bank transfer to our account at CIB, Egypt Cairo branch.</w:t>
      </w:r>
    </w:p>
    <w:bookmarkEnd w:id="22"/>
    <w:bookmarkStart w:id="23" w:name="terms-conditions"/>
    <w:p>
      <w:pPr>
        <w:pStyle w:val="Heading2"/>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may be revised to reflect changes in material costs, exchange rates, or the</w:t>
      </w:r>
      <w:r>
        <w:t xml:space="preserve"> </w:t>
      </w:r>
      <w:r>
        <w:rPr>
          <w:bCs/>
          <w:b/>
        </w:rPr>
        <w:t xml:space="preserve">Aerospace Engineer</w:t>
      </w:r>
      <w:r>
        <w:t xml:space="preserve">'s availability.</w:t>
      </w:r>
    </w:p>
    <w:p>
      <w:pPr>
        <w:numPr>
          <w:ilvl w:val="0"/>
          <w:numId w:val="1001"/>
        </w:numPr>
        <w:pStyle w:val="Compact"/>
      </w:pPr>
      <w:r>
        <w:t xml:space="preserve">All services rendered by our</w:t>
      </w:r>
      <w:r>
        <w:t xml:space="preserve"> </w:t>
      </w:r>
      <w:r>
        <w:rPr>
          <w:bCs/>
          <w:b/>
        </w:rPr>
        <w:t xml:space="preserve">Aerospace Engineer</w:t>
      </w:r>
      <w:r>
        <w:t xml:space="preserve"> </w:t>
      </w:r>
      <w:r>
        <w:t xml:space="preserve">shall be performed in accordance with Egyptian aviation regulations, ICAO standards, and the specific technical requirements outlined in the project brief.</w:t>
      </w:r>
    </w:p>
    <w:p>
      <w:pPr>
        <w:numPr>
          <w:ilvl w:val="0"/>
          <w:numId w:val="1001"/>
        </w:numPr>
        <w:pStyle w:val="Compact"/>
      </w:pPr>
      <w:r>
        <w:t xml:space="preserve">The</w:t>
      </w:r>
      <w:r>
        <w:t xml:space="preserve"> </w:t>
      </w:r>
      <w:r>
        <w:rPr>
          <w:bCs/>
          <w:b/>
        </w:rPr>
        <w:t xml:space="preserve">Aerospace Engineer</w:t>
      </w:r>
      <w:r>
        <w:t xml:space="preserve"> </w:t>
      </w:r>
      <w:r>
        <w:t xml:space="preserve">shall maintain full professional indemnity insurance with a minimum coverage of EGP 10,000,000, valid throughout the engagement period in</w:t>
      </w:r>
      <w:r>
        <w:t xml:space="preserve"> </w:t>
      </w:r>
      <w:r>
        <w:rPr>
          <w:bCs/>
          <w:b/>
        </w:rPr>
        <w:t xml:space="preserve">Egypt Cairo</w:t>
      </w:r>
      <w:r>
        <w:t xml:space="preserve"> </w:t>
      </w:r>
      <w:r>
        <w:t xml:space="preserve">and all operational sites.</w:t>
      </w:r>
    </w:p>
    <w:p>
      <w:pPr>
        <w:numPr>
          <w:ilvl w:val="0"/>
          <w:numId w:val="1001"/>
        </w:numPr>
        <w:pStyle w:val="Compact"/>
      </w:pPr>
      <w:r>
        <w:t xml:space="preserve">Intellectual property generated specifically for the Egyptian Aviation Authority under this contract shall vest in the Authority upon full payment. General methodologies and pre-existing tools of the</w:t>
      </w:r>
      <w:r>
        <w:t xml:space="preserve"> </w:t>
      </w:r>
      <w:r>
        <w:rPr>
          <w:bCs/>
          <w:b/>
        </w:rPr>
        <w:t xml:space="preserve">Aerospace Engineer</w:t>
      </w:r>
      <w:r>
        <w:t xml:space="preserve"> </w:t>
      </w:r>
      <w:r>
        <w:t xml:space="preserve">remain the property of Nile Aerospace Engineering Consultants.</w:t>
      </w:r>
    </w:p>
    <w:p>
      <w:pPr>
        <w:numPr>
          <w:ilvl w:val="0"/>
          <w:numId w:val="1001"/>
        </w:numPr>
        <w:pStyle w:val="Compact"/>
      </w:pPr>
      <w:r>
        <w:t xml:space="preserve">Either party may terminate this engagement with sixty (60) days' written notice. In such an event, the</w:t>
      </w:r>
      <w:r>
        <w:t xml:space="preserve"> </w:t>
      </w:r>
      <w:r>
        <w:rPr>
          <w:bCs/>
          <w:b/>
        </w:rPr>
        <w:t xml:space="preserve">Quotation Estimate</w:t>
      </w:r>
      <w:r>
        <w:t xml:space="preserve"> </w:t>
      </w:r>
      <w:r>
        <w:t xml:space="preserve">shall be adjusted pro-rata for work completed up to the termination date.</w:t>
      </w:r>
    </w:p>
    <w:p>
      <w:pPr>
        <w:numPr>
          <w:ilvl w:val="0"/>
          <w:numId w:val="1001"/>
        </w:numPr>
        <w:pStyle w:val="Compact"/>
      </w:pPr>
      <w:r>
        <w:t xml:space="preserve">All work shall be conducted in compliance with Egyptian labour law. The</w:t>
      </w:r>
      <w:r>
        <w:t xml:space="preserve"> </w:t>
      </w:r>
      <w:r>
        <w:rPr>
          <w:bCs/>
          <w:b/>
        </w:rPr>
        <w:t xml:space="preserve">Aerospace Engineer</w:t>
      </w:r>
      <w:r>
        <w:t xml:space="preserve"> </w:t>
      </w:r>
      <w:r>
        <w:t xml:space="preserve">is engaged as a specialist consultant and not as an employee of the Authority.</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or the resulting contract shall be resolved through arbitration in</w:t>
      </w:r>
      <w:r>
        <w:t xml:space="preserve"> </w:t>
      </w:r>
      <w:r>
        <w:rPr>
          <w:bCs/>
          <w:b/>
        </w:rPr>
        <w:t xml:space="preserve">Egypt Cairo</w:t>
      </w:r>
      <w:r>
        <w:t xml:space="preserve"> </w:t>
      </w:r>
      <w:r>
        <w:t xml:space="preserve">under the rules of the Egyptian Arbitration Centre.</w:t>
      </w:r>
    </w:p>
    <w:p>
      <w:pPr>
        <w:numPr>
          <w:ilvl w:val="0"/>
          <w:numId w:val="1001"/>
        </w:numPr>
        <w:pStyle w:val="Compact"/>
      </w:pPr>
      <w:r>
        <w:t xml:space="preserve">Confidentiality: Both parties agree to maintain strict confidentiality regarding all technical data, flight test results, and proprietary information exchanged during the course of this project.</w:t>
      </w:r>
    </w:p>
    <w:bookmarkEnd w:id="23"/>
    <w:bookmarkStart w:id="24" w:name="acceptance"/>
    <w:p>
      <w:pPr>
        <w:pStyle w:val="Heading2"/>
      </w:pPr>
      <w:r>
        <w:t xml:space="preserve">Acceptance</w:t>
      </w:r>
    </w:p>
    <w:p>
      <w:pPr>
        <w:pStyle w:val="FirstParagraph"/>
      </w:pPr>
      <w:r>
        <w:t xml:space="preserve">By signing below, the Egyptian Aviation Authority acknowledges and accepts this</w:t>
      </w:r>
      <w:r>
        <w:t xml:space="preserve"> </w:t>
      </w:r>
      <w:r>
        <w:rPr>
          <w:bCs/>
          <w:b/>
        </w:rPr>
        <w:t xml:space="preserve">Quotation Estimate</w:t>
      </w:r>
      <w:r>
        <w:t xml:space="preserve"> </w:t>
      </w:r>
      <w:r>
        <w:t xml:space="preserve">in full, authorising Nile Aerospace Engineering Consultants to commence the engagement of the</w:t>
      </w:r>
      <w:r>
        <w:t xml:space="preserve"> </w:t>
      </w:r>
      <w:r>
        <w:rPr>
          <w:bCs/>
          <w:b/>
        </w:rPr>
        <w:t xml:space="preserve">Aerospace Engineer</w:t>
      </w:r>
      <w:r>
        <w:t xml:space="preserve"> </w:t>
      </w:r>
      <w:r>
        <w:t xml:space="preserve">as described herein. This acceptance constitutes a binding agreement between both parties for the services to be delivered in</w:t>
      </w:r>
      <w:r>
        <w:t xml:space="preserve"> </w:t>
      </w:r>
      <w:r>
        <w:rPr>
          <w:bCs/>
          <w:b/>
        </w:rPr>
        <w:t xml:space="preserve">Egypt Cairo</w:t>
      </w:r>
      <w:r>
        <w:t xml:space="preserve"> </w:t>
      </w:r>
      <w:r>
        <w:t xml:space="preserve">and associated operational zones.</w:t>
      </w:r>
    </w:p>
    <w:p>
      <w:pPr>
        <w:pStyle w:val="BodyText"/>
      </w:pPr>
      <w:r>
        <w:rPr>
          <w:bCs/>
          <w:b/>
        </w:rPr>
        <w:t xml:space="preserve">For Nile Aerospace Engineering Consultants</w:t>
      </w:r>
      <w:r>
        <w:br/>
      </w:r>
      <w:r>
        <w:t xml:space="preserve">Dr. Khaled Mansour – Lead Aerospace Engineer</w:t>
      </w:r>
      <w:r>
        <w:br/>
      </w:r>
      <w:r>
        <w:t xml:space="preserve">Date: _______________</w:t>
      </w:r>
    </w:p>
    <w:p>
      <w:pPr>
        <w:pStyle w:val="BodyText"/>
      </w:pPr>
      <w:r>
        <w:rPr>
          <w:bCs/>
          <w:b/>
        </w:rPr>
        <w:t xml:space="preserve">For the Egyptian Aviation Authority</w:t>
      </w:r>
      <w:r>
        <w:br/>
      </w:r>
      <w:r>
        <w:t xml:space="preserve">Mr. Ahmed Hassan – Procurement Director</w:t>
      </w:r>
      <w:r>
        <w:br/>
      </w:r>
      <w:r>
        <w:t xml:space="preserve">Date: _______________</w:t>
      </w:r>
    </w:p>
    <w:p>
      <w:pPr>
        <w:pStyle w:val="BodyText"/>
      </w:pPr>
      <w:r>
        <w:t xml:space="preserve">Nile Aerospace Engineering Consultants | 12 Tahrir Square, Egypt Cairo 11511, Arab Republic of Egypt</w:t>
      </w:r>
    </w:p>
    <w:p>
      <w:pPr>
        <w:pStyle w:val="BodyText"/>
      </w:pPr>
      <w:r>
        <w:t xml:space="preserve">This Quotation Estimate is the property of Nile Aerospace Engineering Consultants and is issued solely for the attention of the named recipient. Unauthorised reproduction or distribution is prohibited.</w:t>
      </w:r>
    </w:p>
    <w:p>
      <w:pPr>
        <w:pStyle w:val="BodyText"/>
      </w:pPr>
      <w:r>
        <w:t xml:space="preserve">Document Ref: QTE-2025-CAIRO-0472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Egypt Cairo</dc:title>
  <dc:creator/>
  <dc:language>en</dc:language>
  <cp:keywords/>
  <dcterms:created xsi:type="dcterms:W3CDTF">2026-10-10T05:43:58Z</dcterms:created>
  <dcterms:modified xsi:type="dcterms:W3CDTF">2026-10-10T05:43:58Z</dcterms:modified>
</cp:coreProperties>
</file>

<file path=docProps/custom.xml><?xml version="1.0" encoding="utf-8"?>
<Properties xmlns="http://schemas.openxmlformats.org/officeDocument/2006/custom-properties" xmlns:vt="http://schemas.openxmlformats.org/officeDocument/2006/docPropsVTypes"/>
</file>