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skyforge-aerospace-consultancy-pvt.-ltd."/>
    <w:p>
      <w:pPr>
        <w:pStyle w:val="Heading1"/>
      </w:pPr>
      <w:r>
        <w:t xml:space="preserve">SKYFORGE AEROSPACE CONSULTANCY PVT. LTD.</w:t>
      </w:r>
    </w:p>
    <w:p>
      <w:pPr>
        <w:pStyle w:val="FirstParagraph"/>
      </w:pPr>
      <w:r>
        <w:t xml:space="preserve">Plot No. 42, Electronics City Phase II, Whitefield, India Bangalore – 560100</w:t>
      </w:r>
    </w:p>
    <w:p>
      <w:pPr>
        <w:pStyle w:val="BodyText"/>
      </w:pPr>
      <w:r>
        <w:t xml:space="preserve">Phone: +91-80-4567-8900 | Email: quotations@skyforgeaerospace.in</w:t>
      </w:r>
    </w:p>
    <w:p>
      <w:pPr>
        <w:pStyle w:val="BodyText"/>
      </w:pPr>
      <w:r>
        <w:t xml:space="preserve">CIN: U34300KA2015PTC098765 | GSTIN: 29AABCS1234F1Z5</w:t>
      </w:r>
    </w:p>
    <w:bookmarkEnd w:id="20"/>
    <w:p>
      <w:pPr>
        <w:pStyle w:val="BodyText"/>
      </w:pPr>
      <w:r>
        <w:t xml:space="preserve">Quotation Estimate</w:t>
      </w:r>
    </w:p>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SFC-QE-2025-0472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calendar days)</w:t>
            </w:r>
          </w:p>
        </w:tc>
      </w:tr>
      <w:tr>
        <w:tc>
          <w:tcPr/>
          <w:p>
            <w:pPr>
              <w:pStyle w:val="Compact"/>
              <w:jc w:val="left"/>
            </w:pPr>
            <w:r>
              <w:rPr>
                <w:bCs/>
                <w:b/>
              </w:rPr>
              <w:t xml:space="preserve">Prepared For:</w:t>
            </w:r>
          </w:p>
        </w:tc>
        <w:tc>
          <w:tcPr/>
          <w:p>
            <w:pPr>
              <w:pStyle w:val="Compact"/>
              <w:jc w:val="left"/>
            </w:pPr>
            <w:r>
              <w:t xml:space="preserve">Mr. Arjun Mehta, Director – Engineering, Vortex Dynamics Aerospace Pvt. Ltd., HSR Layout, India Bangalore</w:t>
            </w:r>
          </w:p>
        </w:tc>
      </w:tr>
      <w:tr>
        <w:tc>
          <w:tcPr/>
          <w:p>
            <w:pPr>
              <w:pStyle w:val="Compact"/>
              <w:jc w:val="left"/>
            </w:pPr>
            <w:r>
              <w:rPr>
                <w:bCs/>
                <w:b/>
              </w:rPr>
              <w:t xml:space="preserve">Prepared By:</w:t>
            </w:r>
          </w:p>
        </w:tc>
        <w:tc>
          <w:tcPr/>
          <w:p>
            <w:pPr>
              <w:pStyle w:val="Compact"/>
              <w:jc w:val="left"/>
            </w:pPr>
            <w:r>
              <w:t xml:space="preserve">Dr. Kavitha Raghavan, Lead Aerospace Engineer, SkyForge Aerospace Consultancy</w:t>
            </w:r>
          </w:p>
        </w:tc>
      </w:tr>
    </w:tbl>
    <w:bookmarkEnd w:id="21"/>
    <w:bookmarkStart w:id="22"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SkyForge Aerospace Consultancy Pvt. Ltd., a specialized engineering firm headquartered in India Bangalore, to provide a comprehensive cost breakdown for the engagement of a senior</w:t>
      </w:r>
      <w:r>
        <w:t xml:space="preserve"> </w:t>
      </w:r>
      <w:r>
        <w:t xml:space="preserve">Aerospace Engineer</w:t>
      </w:r>
      <w:r>
        <w:t xml:space="preserve"> </w:t>
      </w:r>
      <w:r>
        <w:t xml:space="preserve">to support Vortex Dynamics Aerospace Pvt. Ltd. in the design, analysis, and certification of a next-generation composite wing structure for a regional turboprop aircraft. The scope of work outlined in this</w:t>
      </w:r>
      <w:r>
        <w:t xml:space="preserve"> </w:t>
      </w:r>
      <w:r>
        <w:t xml:space="preserve">Quotation Estimate</w:t>
      </w:r>
      <w:r>
        <w:t xml:space="preserve"> </w:t>
      </w:r>
      <w:r>
        <w:t xml:space="preserve">covers all technical consulting, structural analysis, finite element modeling, and regulatory compliance activities to be conducted from our India Bangalore office and, where required, at the client's facility in the same metropolitan region.</w:t>
      </w:r>
    </w:p>
    <w:p>
      <w:pPr>
        <w:pStyle w:val="BodyText"/>
      </w:pPr>
      <w:r>
        <w:t xml:space="preserve">The</w:t>
      </w:r>
      <w:r>
        <w:t xml:space="preserve"> </w:t>
      </w:r>
      <w:r>
        <w:t xml:space="preserve">Aerospace Engineer</w:t>
      </w:r>
      <w:r>
        <w:t xml:space="preserve"> </w:t>
      </w:r>
      <w:r>
        <w:t xml:space="preserve">assigned to this project will hold a minimum of twelve (12) years of post-qualification experience in airframe structural design, with demonstrated expertise in composite material layup optimization, fatigue and damage tolerance analysis, and DGCA (Directorate General of Civil Aviation) certification processes. All deliverables referenced in this</w:t>
      </w:r>
      <w:r>
        <w:t xml:space="preserve"> </w:t>
      </w:r>
      <w:r>
        <w:t xml:space="preserve">Quotation Estimate</w:t>
      </w:r>
      <w:r>
        <w:t xml:space="preserve"> </w:t>
      </w:r>
      <w:r>
        <w:t xml:space="preserve">will be produced in accordance with AS9100D quality management standards and applicable DGCA Airworthiness Directives.</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Aerospace Engineer – Structural Design &amp; Sizing (composite wing box, spar caps, ribs, and skin panels)</w:t>
            </w:r>
          </w:p>
        </w:tc>
        <w:tc>
          <w:tcPr/>
          <w:p>
            <w:pPr>
              <w:pStyle w:val="Compact"/>
              <w:jc w:val="left"/>
            </w:pPr>
            <w:r>
              <w:t xml:space="preserve">120 man-hours</w:t>
            </w:r>
          </w:p>
        </w:tc>
        <w:tc>
          <w:tcPr/>
          <w:p>
            <w:pPr>
              <w:pStyle w:val="Compact"/>
              <w:jc w:val="left"/>
            </w:pPr>
            <w:r>
              <w:t xml:space="preserve">₹ 4,500 / hr</w:t>
            </w:r>
          </w:p>
        </w:tc>
        <w:tc>
          <w:tcPr/>
          <w:p>
            <w:pPr>
              <w:pStyle w:val="Compact"/>
              <w:jc w:val="left"/>
            </w:pPr>
            <w:r>
              <w:t xml:space="preserve">₹ 5,40,000</w:t>
            </w:r>
          </w:p>
        </w:tc>
      </w:tr>
      <w:tr>
        <w:tc>
          <w:tcPr/>
          <w:p>
            <w:pPr>
              <w:pStyle w:val="Compact"/>
              <w:jc w:val="left"/>
            </w:pPr>
            <w:r>
              <w:t xml:space="preserve">2</w:t>
            </w:r>
          </w:p>
        </w:tc>
        <w:tc>
          <w:tcPr/>
          <w:p>
            <w:pPr>
              <w:pStyle w:val="Compact"/>
              <w:jc w:val="left"/>
            </w:pPr>
            <w:r>
              <w:t xml:space="preserve">Finite Element Analysis (FEA) – Static, Modal, and Fatigue Simulation using ANSYS / Abaqus</w:t>
            </w:r>
          </w:p>
        </w:tc>
        <w:tc>
          <w:tcPr/>
          <w:p>
            <w:pPr>
              <w:pStyle w:val="Compact"/>
              <w:jc w:val="left"/>
            </w:pPr>
            <w:r>
              <w:t xml:space="preserve">80 man-hours</w:t>
            </w:r>
          </w:p>
        </w:tc>
        <w:tc>
          <w:tcPr/>
          <w:p>
            <w:pPr>
              <w:pStyle w:val="Compact"/>
              <w:jc w:val="left"/>
            </w:pPr>
            <w:r>
              <w:t xml:space="preserve">₹ 5,200 / hr</w:t>
            </w:r>
          </w:p>
        </w:tc>
        <w:tc>
          <w:tcPr/>
          <w:p>
            <w:pPr>
              <w:pStyle w:val="Compact"/>
              <w:jc w:val="left"/>
            </w:pPr>
            <w:r>
              <w:t xml:space="preserve">₹ 4,16,000</w:t>
            </w:r>
          </w:p>
        </w:tc>
      </w:tr>
      <w:tr>
        <w:tc>
          <w:tcPr/>
          <w:p>
            <w:pPr>
              <w:pStyle w:val="Compact"/>
              <w:jc w:val="left"/>
            </w:pPr>
            <w:r>
              <w:t xml:space="preserve">3</w:t>
            </w:r>
          </w:p>
        </w:tc>
        <w:tc>
          <w:tcPr/>
          <w:p>
            <w:pPr>
              <w:pStyle w:val="Compact"/>
              <w:jc w:val="left"/>
            </w:pPr>
            <w:r>
              <w:t xml:space="preserve">Composite Layup Optimization &amp; Manufacturing Process Specification</w:t>
            </w:r>
          </w:p>
        </w:tc>
        <w:tc>
          <w:tcPr/>
          <w:p>
            <w:pPr>
              <w:pStyle w:val="Compact"/>
              <w:jc w:val="left"/>
            </w:pPr>
            <w:r>
              <w:t xml:space="preserve">60 man-hours</w:t>
            </w:r>
          </w:p>
        </w:tc>
        <w:tc>
          <w:tcPr/>
          <w:p>
            <w:pPr>
              <w:pStyle w:val="Compact"/>
              <w:jc w:val="left"/>
            </w:pPr>
            <w:r>
              <w:t xml:space="preserve">₹ 4,800 / hr</w:t>
            </w:r>
          </w:p>
        </w:tc>
        <w:tc>
          <w:tcPr/>
          <w:p>
            <w:pPr>
              <w:pStyle w:val="Compact"/>
              <w:jc w:val="left"/>
            </w:pPr>
            <w:r>
              <w:t xml:space="preserve">₹ 2,88,000</w:t>
            </w:r>
          </w:p>
        </w:tc>
      </w:tr>
      <w:tr>
        <w:tc>
          <w:tcPr/>
          <w:p>
            <w:pPr>
              <w:pStyle w:val="Compact"/>
              <w:jc w:val="left"/>
            </w:pPr>
            <w:r>
              <w:t xml:space="preserve">4</w:t>
            </w:r>
          </w:p>
        </w:tc>
        <w:tc>
          <w:tcPr/>
          <w:p>
            <w:pPr>
              <w:pStyle w:val="Compact"/>
              <w:jc w:val="left"/>
            </w:pPr>
            <w:r>
              <w:t xml:space="preserve">DGCA Type Certification Support – Data Package Preparation &amp; Review</w:t>
            </w:r>
          </w:p>
        </w:tc>
        <w:tc>
          <w:tcPr/>
          <w:p>
            <w:pPr>
              <w:pStyle w:val="Compact"/>
              <w:jc w:val="left"/>
            </w:pPr>
            <w:r>
              <w:t xml:space="preserve">40 man-hours</w:t>
            </w:r>
          </w:p>
        </w:tc>
        <w:tc>
          <w:tcPr/>
          <w:p>
            <w:pPr>
              <w:pStyle w:val="Compact"/>
              <w:jc w:val="left"/>
            </w:pPr>
            <w:r>
              <w:t xml:space="preserve">₹ 6,000 / hr</w:t>
            </w:r>
          </w:p>
        </w:tc>
        <w:tc>
          <w:tcPr/>
          <w:p>
            <w:pPr>
              <w:pStyle w:val="Compact"/>
              <w:jc w:val="left"/>
            </w:pPr>
            <w:r>
              <w:t xml:space="preserve">₹ 2,40,000</w:t>
            </w:r>
          </w:p>
        </w:tc>
      </w:tr>
      <w:tr>
        <w:tc>
          <w:tcPr/>
          <w:p>
            <w:pPr>
              <w:pStyle w:val="Compact"/>
              <w:jc w:val="left"/>
            </w:pPr>
            <w:r>
              <w:t xml:space="preserve">5</w:t>
            </w:r>
          </w:p>
        </w:tc>
        <w:tc>
          <w:tcPr/>
          <w:p>
            <w:pPr>
              <w:pStyle w:val="Compact"/>
              <w:jc w:val="left"/>
            </w:pPr>
            <w:r>
              <w:t xml:space="preserve">On-site Technical Review Meetings at Client Facility, India Bangalore</w:t>
            </w:r>
          </w:p>
        </w:tc>
        <w:tc>
          <w:tcPr/>
          <w:p>
            <w:pPr>
              <w:pStyle w:val="Compact"/>
              <w:jc w:val="left"/>
            </w:pPr>
            <w:r>
              <w:t xml:space="preserve">8 sessions</w:t>
            </w:r>
          </w:p>
        </w:tc>
        <w:tc>
          <w:tcPr/>
          <w:p>
            <w:pPr>
              <w:pStyle w:val="Compact"/>
              <w:jc w:val="left"/>
            </w:pPr>
            <w:r>
              <w:t xml:space="preserve">₹ 18,000 / session</w:t>
            </w:r>
          </w:p>
        </w:tc>
        <w:tc>
          <w:tcPr/>
          <w:p>
            <w:pPr>
              <w:pStyle w:val="Compact"/>
              <w:jc w:val="left"/>
            </w:pPr>
            <w:r>
              <w:t xml:space="preserve">₹ 1,44,000</w:t>
            </w:r>
          </w:p>
        </w:tc>
      </w:tr>
      <w:tr>
        <w:tc>
          <w:tcPr/>
          <w:p>
            <w:pPr>
              <w:pStyle w:val="Compact"/>
              <w:jc w:val="left"/>
            </w:pPr>
            <w:r>
              <w:t xml:space="preserve">6</w:t>
            </w:r>
          </w:p>
        </w:tc>
        <w:tc>
          <w:tcPr/>
          <w:p>
            <w:pPr>
              <w:pStyle w:val="Compact"/>
              <w:jc w:val="left"/>
            </w:pPr>
            <w:r>
              <w:t xml:space="preserve">Software Licenses &amp; Cloud Compute Allocation (project duration)</w:t>
            </w:r>
          </w:p>
        </w:tc>
        <w:tc>
          <w:tcPr/>
          <w:p>
            <w:pPr>
              <w:pStyle w:val="Compact"/>
              <w:jc w:val="left"/>
            </w:pPr>
            <w:r>
              <w:t xml:space="preserve">6 months</w:t>
            </w:r>
          </w:p>
        </w:tc>
        <w:tc>
          <w:tcPr/>
          <w:p>
            <w:pPr>
              <w:pStyle w:val="Compact"/>
              <w:jc w:val="left"/>
            </w:pPr>
            <w:r>
              <w:t xml:space="preserve">₹ 1,20,000 / month</w:t>
            </w:r>
          </w:p>
        </w:tc>
        <w:tc>
          <w:tcPr/>
          <w:p>
            <w:pPr>
              <w:pStyle w:val="Compact"/>
              <w:jc w:val="left"/>
            </w:pPr>
            <w:r>
              <w:t xml:space="preserve">₹ 7,20,000</w:t>
            </w:r>
          </w:p>
        </w:tc>
      </w:tr>
      <w:tr>
        <w:tc>
          <w:tcPr/>
          <w:p>
            <w:pPr>
              <w:pStyle w:val="Compact"/>
              <w:jc w:val="left"/>
            </w:pPr>
            <w:r>
              <w:t xml:space="preserve">7</w:t>
            </w:r>
          </w:p>
        </w:tc>
        <w:tc>
          <w:tcPr/>
          <w:p>
            <w:pPr>
              <w:pStyle w:val="Compact"/>
              <w:jc w:val="left"/>
            </w:pPr>
            <w:r>
              <w:t xml:space="preserve">Travel &amp; Local Transportation within India Bangalore Metro</w:t>
            </w:r>
          </w:p>
        </w:tc>
        <w:tc>
          <w:tcPr/>
          <w:p>
            <w:pPr>
              <w:pStyle w:val="Compact"/>
              <w:jc w:val="left"/>
            </w:pPr>
            <w:r>
              <w:t xml:space="preserve">As incurred</w:t>
            </w:r>
          </w:p>
        </w:tc>
        <w:tc>
          <w:tcPr/>
          <w:p>
            <w:pPr>
              <w:pStyle w:val="Compact"/>
              <w:jc w:val="left"/>
            </w:pPr>
            <w:r>
              <w:t xml:space="preserve">₹ 35,000 (lump sum)</w:t>
            </w:r>
          </w:p>
        </w:tc>
        <w:tc>
          <w:tcPr/>
          <w:p>
            <w:pPr>
              <w:pStyle w:val="Compact"/>
              <w:jc w:val="left"/>
            </w:pPr>
            <w:r>
              <w:t xml:space="preserve">₹ 35,000</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6 months</w:t>
            </w:r>
          </w:p>
        </w:tc>
        <w:tc>
          <w:tcPr/>
          <w:p>
            <w:pPr>
              <w:pStyle w:val="Compact"/>
              <w:jc w:val="left"/>
            </w:pPr>
            <w:r>
              <w:t xml:space="preserve">₹ 45,000 / month</w:t>
            </w:r>
          </w:p>
        </w:tc>
        <w:tc>
          <w:tcPr/>
          <w:p>
            <w:pPr>
              <w:pStyle w:val="Compact"/>
              <w:jc w:val="left"/>
            </w:pPr>
            <w:r>
              <w:t xml:space="preserve">₹ 2,70,000</w:t>
            </w:r>
          </w:p>
        </w:tc>
      </w:tr>
      <w:tr>
        <w:tc>
          <w:tcPr>
            <w:gridSpan w:val="4"/>
          </w:tcPr>
          <w:p>
            <w:pPr>
              <w:pStyle w:val="Compact"/>
              <w:jc w:val="right"/>
            </w:pPr>
            <w:r>
              <w:t xml:space="preserve">Subtotal (INR)</w:t>
            </w:r>
          </w:p>
        </w:tc>
        <w:tc>
          <w:tcPr/>
          <w:p>
            <w:pPr>
              <w:pStyle w:val="Compact"/>
              <w:jc w:val="left"/>
            </w:pPr>
            <w:r>
              <w:t xml:space="preserve">₹ 27,53,000</w:t>
            </w:r>
          </w:p>
        </w:tc>
      </w:tr>
      <w:tr>
        <w:tc>
          <w:tcPr>
            <w:gridSpan w:val="4"/>
          </w:tcPr>
          <w:p>
            <w:pPr>
              <w:pStyle w:val="Compact"/>
              <w:jc w:val="right"/>
            </w:pPr>
            <w:r>
              <w:t xml:space="preserve">GST @ 18% (INR)</w:t>
            </w:r>
          </w:p>
        </w:tc>
        <w:tc>
          <w:tcPr/>
          <w:p>
            <w:pPr>
              <w:pStyle w:val="Compact"/>
              <w:jc w:val="left"/>
            </w:pPr>
            <w:r>
              <w:t xml:space="preserve">₹ 4,95,540</w:t>
            </w:r>
          </w:p>
        </w:tc>
      </w:tr>
      <w:tr>
        <w:tc>
          <w:tcPr>
            <w:gridSpan w:val="4"/>
          </w:tcPr>
          <w:p>
            <w:pPr>
              <w:pStyle w:val="Compact"/>
              <w:jc w:val="right"/>
            </w:pPr>
            <w:r>
              <w:t xml:space="preserve">Grand Total (INR)</w:t>
            </w:r>
          </w:p>
        </w:tc>
        <w:tc>
          <w:tcPr/>
          <w:p>
            <w:pPr>
              <w:pStyle w:val="Compact"/>
              <w:jc w:val="left"/>
            </w:pPr>
            <w:r>
              <w:t xml:space="preserve">₹ 32,48,540</w:t>
            </w:r>
          </w:p>
        </w:tc>
      </w:tr>
    </w:tbl>
    <w:p>
      <w:pPr>
        <w:pStyle w:val="BodyText"/>
      </w:pPr>
      <w:r>
        <w:t xml:space="preserve">Amount in words: Rupees Thirty-Two Lakh Forty-Eight Thousand Five Hundred and Forty Only.</w:t>
      </w:r>
    </w:p>
    <w:bookmarkEnd w:id="23"/>
    <w:bookmarkStart w:id="24" w:name="deliverables-and-milestones"/>
    <w:p>
      <w:pPr>
        <w:pStyle w:val="Heading2"/>
      </w:pPr>
      <w:r>
        <w:t xml:space="preserve">3. Deliverables and Milestones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deliver the following milestones, all to be completed from the India Bangalore project office:</w:t>
      </w:r>
    </w:p>
    <w:p>
      <w:pPr>
        <w:numPr>
          <w:ilvl w:val="0"/>
          <w:numId w:val="1001"/>
        </w:numPr>
        <w:pStyle w:val="Compact"/>
      </w:pPr>
      <w:r>
        <w:rPr>
          <w:bCs/>
          <w:b/>
        </w:rPr>
        <w:t xml:space="preserve">Milestone 1 (Week 4):</w:t>
      </w:r>
      <w:r>
        <w:t xml:space="preserve"> </w:t>
      </w:r>
      <w:r>
        <w:t xml:space="preserve">Preliminary structural sizing report and composite material selection matrix.</w:t>
      </w:r>
    </w:p>
    <w:p>
      <w:pPr>
        <w:numPr>
          <w:ilvl w:val="0"/>
          <w:numId w:val="1001"/>
        </w:numPr>
        <w:pStyle w:val="Compact"/>
      </w:pPr>
      <w:r>
        <w:rPr>
          <w:bCs/>
          <w:b/>
        </w:rPr>
        <w:t xml:space="preserve">Milestone 2 (Week 10):</w:t>
      </w:r>
      <w:r>
        <w:t xml:space="preserve"> </w:t>
      </w:r>
      <w:r>
        <w:t xml:space="preserve">Complete FEA model with static, modal, and fatigue results validated against analytical hand calculations.</w:t>
      </w:r>
    </w:p>
    <w:p>
      <w:pPr>
        <w:numPr>
          <w:ilvl w:val="0"/>
          <w:numId w:val="1001"/>
        </w:numPr>
        <w:pStyle w:val="Compact"/>
      </w:pPr>
      <w:r>
        <w:rPr>
          <w:bCs/>
          <w:b/>
        </w:rPr>
        <w:t xml:space="preserve">Milestone 3 (Week 16):</w:t>
      </w:r>
      <w:r>
        <w:t xml:space="preserve"> </w:t>
      </w:r>
      <w:r>
        <w:t xml:space="preserve">Final composite layup specification, manufacturing process plan, and quality inspection criteria.</w:t>
      </w:r>
    </w:p>
    <w:p>
      <w:pPr>
        <w:numPr>
          <w:ilvl w:val="0"/>
          <w:numId w:val="1001"/>
        </w:numPr>
        <w:pStyle w:val="Compact"/>
      </w:pPr>
      <w:r>
        <w:rPr>
          <w:bCs/>
          <w:b/>
        </w:rPr>
        <w:t xml:space="preserve">Milestone 4 (Week 22):</w:t>
      </w:r>
      <w:r>
        <w:t xml:space="preserve"> </w:t>
      </w:r>
      <w:r>
        <w:t xml:space="preserve">DGCA Type Certification data package, including structural analysis reports, test plans, and compliance matrices.</w:t>
      </w:r>
    </w:p>
    <w:p>
      <w:pPr>
        <w:numPr>
          <w:ilvl w:val="0"/>
          <w:numId w:val="1001"/>
        </w:numPr>
        <w:pStyle w:val="Compact"/>
      </w:pPr>
      <w:r>
        <w:rPr>
          <w:bCs/>
          <w:b/>
        </w:rPr>
        <w:t xml:space="preserve">Milestone 5 (Week 24):</w:t>
      </w:r>
      <w:r>
        <w:t xml:space="preserve"> </w:t>
      </w:r>
      <w:r>
        <w:t xml:space="preserve">Final project closure report, as-built documentation, and knowledge transfer session at the client's India Bangalore facility.</w:t>
      </w:r>
    </w:p>
    <w:bookmarkEnd w:id="24"/>
    <w:bookmarkStart w:id="25"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market conditions, software licensing costs, or statutory tax rates applicable in India Bangalore.</w:t>
      </w:r>
    </w:p>
    <w:p>
      <w:pPr>
        <w:numPr>
          <w:ilvl w:val="0"/>
          <w:numId w:val="1002"/>
        </w:numPr>
        <w:pStyle w:val="Compact"/>
      </w:pPr>
      <w:r>
        <w:t xml:space="preserve">Payment terms: 30% advance upon acceptance of this</w:t>
      </w:r>
      <w:r>
        <w:t xml:space="preserve"> </w:t>
      </w:r>
      <w:r>
        <w:t xml:space="preserve">Quotation Estimate</w:t>
      </w:r>
      <w:r>
        <w:t xml:space="preserve">, 40% upon completion of Milestone 2, and 30% upon final delivery and acceptance of all documents.</w:t>
      </w:r>
    </w:p>
    <w:p>
      <w:pPr>
        <w:numPr>
          <w:ilvl w:val="0"/>
          <w:numId w:val="1002"/>
        </w:numPr>
        <w:pStyle w:val="Compact"/>
      </w:pPr>
      <w:r>
        <w:t xml:space="preserve">All intellectual property generated by the</w:t>
      </w:r>
      <w:r>
        <w:t xml:space="preserve"> </w:t>
      </w:r>
      <w:r>
        <w:t xml:space="preserve">Aerospace Engineer</w:t>
      </w:r>
      <w:r>
        <w:t xml:space="preserve"> </w:t>
      </w:r>
      <w:r>
        <w:t xml:space="preserve">during the course of this engagement shall vest exclusively with Vortex Dynamics Aerospace Pvt. Ltd. upon full and final payment.</w:t>
      </w:r>
    </w:p>
    <w:p>
      <w:pPr>
        <w:numPr>
          <w:ilvl w:val="0"/>
          <w:numId w:val="1002"/>
        </w:numPr>
        <w:pStyle w:val="Compact"/>
      </w:pPr>
      <w:r>
        <w:t xml:space="preserve">The</w:t>
      </w:r>
      <w:r>
        <w:t xml:space="preserve"> </w:t>
      </w:r>
      <w:r>
        <w:t xml:space="preserve">Aerospace Engineer</w:t>
      </w:r>
      <w:r>
        <w:t xml:space="preserve"> </w:t>
      </w:r>
      <w:r>
        <w:t xml:space="preserve">shall maintain strict confidentiality of all proprietary data, design drawings, and test results. A mutual Non-Disclosure Agreement (NDA) shall be executed prior to the commencement of work.</w:t>
      </w:r>
    </w:p>
    <w:p>
      <w:pPr>
        <w:numPr>
          <w:ilvl w:val="0"/>
          <w:numId w:val="1002"/>
        </w:numPr>
        <w:pStyle w:val="Compact"/>
      </w:pPr>
      <w:r>
        <w:t xml:space="preserve">Any change in scope beyond the parameters defined in this</w:t>
      </w:r>
      <w:r>
        <w:t xml:space="preserve"> </w:t>
      </w:r>
      <w:r>
        <w:t xml:space="preserve">Quotation Estimate</w:t>
      </w:r>
      <w:r>
        <w:t xml:space="preserve"> </w:t>
      </w:r>
      <w:r>
        <w:t xml:space="preserve">shall be subject to a supplementary quotation and written approval from both parties.</w:t>
      </w:r>
    </w:p>
    <w:p>
      <w:pPr>
        <w:numPr>
          <w:ilvl w:val="0"/>
          <w:numId w:val="1002"/>
        </w:numPr>
        <w:pStyle w:val="Compact"/>
      </w:pPr>
      <w:r>
        <w:t xml:space="preserve">Governing law: The laws of the State of Karnataka, India. Jurisdiction: Courts at India Bangalore, Karnataka.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 in our designated bank account.</w:t>
      </w:r>
    </w:p>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Aerospace Engineer</w:t>
      </w:r>
      <w:r>
        <w:t xml:space="preserve"> </w:t>
      </w:r>
      <w:r>
        <w:t xml:space="preserve">services as described. Both parties confirm that all communications, deliverables, and project activities shall be coordinated through the India Bangalore project office unless otherwise agreed in writing.</w:t>
      </w:r>
    </w:p>
    <w:bookmarkEnd w:id="26"/>
    <w:p>
      <w:pPr>
        <w:pStyle w:val="BodyText"/>
      </w:pPr>
      <w:r>
        <w:rPr>
          <w:bCs/>
          <w:b/>
        </w:rPr>
        <w:t xml:space="preserve">For SkyForge Aerospace Consultancy Pvt. Ltd.</w:t>
      </w:r>
      <w:r>
        <w:br/>
      </w:r>
      <w:r>
        <w:t xml:space="preserve">Dr. Kavitha Raghavan</w:t>
      </w:r>
      <w:r>
        <w:br/>
      </w:r>
      <w:r>
        <w:t xml:space="preserve">Lead Aerospace Engineer</w:t>
      </w:r>
      <w:r>
        <w:br/>
      </w:r>
      <w:r>
        <w:t xml:space="preserve">India Bangalore</w:t>
      </w:r>
    </w:p>
    <w:p>
      <w:pPr>
        <w:pStyle w:val="BodyText"/>
      </w:pPr>
      <w:r>
        <w:rPr>
          <w:bCs/>
          <w:b/>
        </w:rPr>
        <w:t xml:space="preserve">For Vortex Dynamics Aerospace Pvt. Ltd.</w:t>
      </w:r>
      <w:r>
        <w:br/>
      </w:r>
      <w:r>
        <w:t xml:space="preserve">Mr. Arjun Mehta</w:t>
      </w:r>
      <w:r>
        <w:br/>
      </w:r>
      <w:r>
        <w:t xml:space="preserve">Director – Engineering</w:t>
      </w:r>
      <w:r>
        <w:br/>
      </w:r>
      <w:r>
        <w:t xml:space="preserve">India Bangalore</w:t>
      </w:r>
    </w:p>
    <w:p>
      <w:pPr>
        <w:pStyle w:val="BodyText"/>
      </w:pPr>
      <w:r>
        <w:rPr>
          <w:bCs/>
          <w:b/>
        </w:rPr>
        <w:t xml:space="preserve">SKYFORGE AEROSPACE CONSULTANCY PVT. LTD.</w:t>
      </w:r>
      <w:r>
        <w:t xml:space="preserve"> </w:t>
      </w:r>
      <w:r>
        <w:t xml:space="preserve">| Electronics City Phase II, Whitefield, India Bangalore – 560100, Karnataka, India</w:t>
      </w:r>
    </w:p>
    <w:p>
      <w:pPr>
        <w:pStyle w:val="BodyText"/>
      </w:pPr>
      <w:r>
        <w:t xml:space="preserve">This Quotation Estimate is a confidential commercial document. Unauthorized reproduction or distribution is strictly prohibited.</w:t>
      </w:r>
    </w:p>
    <w:p>
      <w:pPr>
        <w:pStyle w:val="BodyText"/>
      </w:pPr>
      <w:r>
        <w:t xml:space="preserve">Document ID: SFC-QE-2025-0472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India Bangalore</dc:title>
  <dc:creator/>
  <dc:language>en</dc:language>
  <cp:keywords/>
  <dcterms:created xsi:type="dcterms:W3CDTF">2026-10-10T02:31:48Z</dcterms:created>
  <dcterms:modified xsi:type="dcterms:W3CDTF">2026-10-10T02:31:48Z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