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Italy</w:t>
      </w:r>
      <w:r>
        <w:t xml:space="preserve"> </w:t>
      </w:r>
      <w:r>
        <w:t xml:space="preserve">Rome</w:t>
      </w:r>
    </w:p>
    <w:bookmarkStart w:id="20" w:name="quotation-estimate"/>
    <w:p>
      <w:pPr>
        <w:pStyle w:val="Heading1"/>
      </w:pPr>
      <w:r>
        <w:t xml:space="preserve">QUOTATION ESTIMATE</w:t>
      </w:r>
    </w:p>
    <w:p>
      <w:pPr>
        <w:pStyle w:val="FirstParagraph"/>
      </w:pPr>
      <w:r>
        <w:t xml:space="preserve">Professional Aerospace Engineering Services — Italy Rome</w:t>
      </w:r>
    </w:p>
    <w:p>
      <w:pPr>
        <w:pStyle w:val="BodyText"/>
      </w:pPr>
      <w:r>
        <w:t xml:space="preserve">Ref: QE-ROME-AE-2025-0472 | Validity: 90 Days from Issue Date</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QE-ROME-AE-2025-0472</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Service Provider</w:t>
            </w:r>
          </w:p>
        </w:tc>
        <w:tc>
          <w:tcPr/>
          <w:p>
            <w:pPr>
              <w:pStyle w:val="Compact"/>
              <w:jc w:val="left"/>
            </w:pPr>
            <w:r>
              <w:t xml:space="preserve">TechAero Consulting S.r.l. — Via dell’Aeronautica 42, 00144 Rome, Italy</w:t>
            </w:r>
          </w:p>
        </w:tc>
        <w:tc>
          <w:tcPr/>
          <w:p>
            <w:pPr>
              <w:pStyle w:val="Compact"/>
              <w:jc w:val="left"/>
            </w:pPr>
            <w:r>
              <w:t xml:space="preserve">VAT / P.IVA</w:t>
            </w:r>
          </w:p>
        </w:tc>
        <w:tc>
          <w:tcPr/>
          <w:p>
            <w:pPr>
              <w:pStyle w:val="Compact"/>
              <w:jc w:val="left"/>
            </w:pPr>
            <w:r>
              <w:t xml:space="preserve">IT09876543210</w:t>
            </w:r>
          </w:p>
        </w:tc>
      </w:tr>
      <w:tr>
        <w:tc>
          <w:tcPr/>
          <w:p>
            <w:pPr>
              <w:pStyle w:val="Compact"/>
              <w:jc w:val="left"/>
            </w:pPr>
            <w:r>
              <w:t xml:space="preserve">Client</w:t>
            </w:r>
          </w:p>
        </w:tc>
        <w:tc>
          <w:tcPr/>
          <w:p>
            <w:pPr>
              <w:pStyle w:val="Compact"/>
              <w:jc w:val="left"/>
            </w:pPr>
            <w:r>
              <w:t xml:space="preserve">European Aerospace Research Consortium — Via Tiburtina 128, 00159 Rome, Italy</w:t>
            </w:r>
          </w:p>
        </w:tc>
        <w:tc>
          <w:tcPr/>
          <w:p>
            <w:pPr>
              <w:pStyle w:val="Compact"/>
              <w:jc w:val="left"/>
            </w:pPr>
            <w:r>
              <w:t xml:space="preserve">Client Ref.</w:t>
            </w:r>
          </w:p>
        </w:tc>
        <w:tc>
          <w:tcPr/>
          <w:p>
            <w:pPr>
              <w:pStyle w:val="Compact"/>
              <w:jc w:val="left"/>
            </w:pPr>
            <w:r>
              <w:t xml:space="preserve">EARC-2025-PROJ-118</w:t>
            </w:r>
          </w:p>
        </w:tc>
      </w:tr>
      <w:tr>
        <w:tc>
          <w:tcPr/>
          <w:p>
            <w:pPr>
              <w:pStyle w:val="Compact"/>
              <w:jc w:val="left"/>
            </w:pPr>
            <w:r>
              <w:t xml:space="preserve">Project Title</w:t>
            </w:r>
          </w:p>
        </w:tc>
        <w:tc>
          <w:tcPr>
            <w:gridSpan w:val="3"/>
          </w:tcPr>
          <w:p>
            <w:pPr>
              <w:pStyle w:val="Compact"/>
              <w:jc w:val="left"/>
            </w:pPr>
            <w:r>
              <w:t xml:space="preserve">Aerospace Engineer Consultancy — Structural Analysis &amp; Propulsion Systems Review for Next-Generation UAV Platform (Italy Rome Site)</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TechAero Consulting S.r.l. to formally present the cost breakdown, scope of deliverables, and professional terms for the engagement of a senior</w:t>
      </w:r>
      <w:r>
        <w:t xml:space="preserve"> </w:t>
      </w:r>
      <w:r>
        <w:t xml:space="preserve">Aerospace Engineer</w:t>
      </w:r>
      <w:r>
        <w:t xml:space="preserve"> </w:t>
      </w:r>
      <w:r>
        <w:t xml:space="preserve">to support the European Aerospace Research Consortium in the design validation, structural integrity assessment, and propulsion systems review of a next-generation unmanned aerial vehicle (UAV) platform. All services described herein will be performed at the client’s facility located in</w:t>
      </w:r>
      <w:r>
        <w:t xml:space="preserve"> </w:t>
      </w:r>
      <w:r>
        <w:t xml:space="preserve">Italy Rome</w:t>
      </w:r>
      <w:r>
        <w:t xml:space="preserve">, specifically at the Via Tiburtina 128 research campus, and will comply with the applicable Italian national regulations, European Union aerospace directives (EASA Part 21), and the specific technical standards outlined in the project brief. This</w:t>
      </w:r>
      <w:r>
        <w:t xml:space="preserve"> </w:t>
      </w:r>
      <w:r>
        <w:t xml:space="preserve">Quotation Estimate</w:t>
      </w:r>
      <w:r>
        <w:t xml:space="preserve"> </w:t>
      </w:r>
      <w:r>
        <w:t xml:space="preserve">constitutes a binding offer for a period of ninety (90) calendar days from the date of issue, after which pricing and availability of the designated</w:t>
      </w:r>
      <w:r>
        <w:t xml:space="preserve"> </w:t>
      </w:r>
      <w:r>
        <w:t xml:space="preserve">Aerospace Engineer</w:t>
      </w:r>
      <w:r>
        <w:t xml:space="preserve"> </w:t>
      </w:r>
      <w:r>
        <w:t xml:space="preserve">may be subject to revision.</w:t>
      </w:r>
    </w:p>
    <w:bookmarkEnd w:id="21"/>
    <w:bookmarkStart w:id="22" w:name="X674aa451a8ab921149dede03dad5eeb91197f07"/>
    <w:p>
      <w:pPr>
        <w:pStyle w:val="Heading2"/>
      </w:pPr>
      <w:r>
        <w:t xml:space="preserve">2. Scope of Work — Aerospace Engineer Services in Italy Rome</w:t>
      </w:r>
    </w:p>
    <w:p>
      <w:pPr>
        <w:pStyle w:val="FirstParagraph"/>
      </w:pPr>
      <w:r>
        <w:t xml:space="preserve">The</w:t>
      </w:r>
      <w:r>
        <w:t xml:space="preserve"> </w:t>
      </w:r>
      <w:r>
        <w:t xml:space="preserve">Aerospace Engineer</w:t>
      </w:r>
      <w:r>
        <w:t xml:space="preserve"> </w:t>
      </w:r>
      <w:r>
        <w:t xml:space="preserve">assigned to this project will operate on-site in</w:t>
      </w:r>
      <w:r>
        <w:t xml:space="preserve"> </w:t>
      </w:r>
      <w:r>
        <w:t xml:space="preserve">Italy Rome</w:t>
      </w:r>
      <w:r>
        <w:t xml:space="preserve"> </w:t>
      </w:r>
      <w:r>
        <w:t xml:space="preserve">for the duration of the engagement and will deliver the following professional services:</w:t>
      </w:r>
    </w:p>
    <w:p>
      <w:pPr>
        <w:pStyle w:val="BodyText"/>
      </w:pPr>
      <w:r>
        <w:t xml:space="preserve">(a) Comprehensive structural finite-element analysis (FEA) of the UAV airframe, including fatigue life prediction, load-path verification, and compliance with CS-23 airworthiness requirements. The</w:t>
      </w:r>
      <w:r>
        <w:t xml:space="preserve"> </w:t>
      </w:r>
      <w:r>
        <w:t xml:space="preserve">Aerospace Engineer</w:t>
      </w:r>
      <w:r>
        <w:t xml:space="preserve"> </w:t>
      </w:r>
      <w:r>
        <w:t xml:space="preserve">will conduct all modelling and simulation work using the client’s licensed ANSYS and NASTRAN environments available at the</w:t>
      </w:r>
      <w:r>
        <w:t xml:space="preserve"> </w:t>
      </w:r>
      <w:r>
        <w:t xml:space="preserve">Italy Rome</w:t>
      </w:r>
      <w:r>
        <w:t xml:space="preserve"> </w:t>
      </w:r>
      <w:r>
        <w:t xml:space="preserve">facility.</w:t>
      </w:r>
      <w:r>
        <w:br/>
      </w:r>
      <w:r>
        <w:br/>
      </w:r>
      <w:r>
        <w:t xml:space="preserve">(b) Propulsion systems performance review, encompassing thermodynamic cycle analysis, nozzle flow optimisation, and thermal management assessment for the hybrid-electric propulsion unit. All bench-test data interpretation will be performed by the</w:t>
      </w:r>
      <w:r>
        <w:t xml:space="preserve"> </w:t>
      </w:r>
      <w:r>
        <w:t xml:space="preserve">Aerospace Engineer</w:t>
      </w:r>
      <w:r>
        <w:t xml:space="preserve"> </w:t>
      </w:r>
      <w:r>
        <w:t xml:space="preserve">at the</w:t>
      </w:r>
      <w:r>
        <w:t xml:space="preserve"> </w:t>
      </w:r>
      <w:r>
        <w:t xml:space="preserve">Italy Rome</w:t>
      </w:r>
      <w:r>
        <w:t xml:space="preserve"> </w:t>
      </w:r>
      <w:r>
        <w:t xml:space="preserve">test laboratory.</w:t>
      </w:r>
      <w:r>
        <w:br/>
      </w:r>
      <w:r>
        <w:br/>
      </w:r>
      <w:r>
        <w:t xml:space="preserve">(c) Preparation of a full technical dossier and compliance matrix for submission to the Italian Civil Aviation Authority (ENAC) and EASA, ensuring that all documentation meets the regulatory framework applicable to</w:t>
      </w:r>
      <w:r>
        <w:t xml:space="preserve"> </w:t>
      </w:r>
      <w:r>
        <w:t xml:space="preserve">Italy Rome</w:t>
      </w:r>
      <w:r>
        <w:t xml:space="preserve"> </w:t>
      </w:r>
      <w:r>
        <w:t xml:space="preserve">and the broader European Economic Area.</w:t>
      </w:r>
      <w:r>
        <w:br/>
      </w:r>
      <w:r>
        <w:br/>
      </w:r>
      <w:r>
        <w:t xml:space="preserve">(d) Two (2) on-site review workshops per month with the client’s multidisciplinary engineering team, held at the</w:t>
      </w:r>
      <w:r>
        <w:t xml:space="preserve"> </w:t>
      </w:r>
      <w:r>
        <w:t xml:space="preserve">Italy Rome</w:t>
      </w:r>
      <w:r>
        <w:t xml:space="preserve"> </w:t>
      </w:r>
      <w:r>
        <w:t xml:space="preserve">campus, to present interim findings, resolve design conflicts, and align on critical path milestones.</w:t>
      </w:r>
      <w:r>
        <w:br/>
      </w:r>
      <w:r>
        <w:br/>
      </w:r>
      <w:r>
        <w:t xml:space="preserve">(e) Final integration report and certification support package, delivered in both English and Italian, to facilitate regulatory review by ENAC and the client’s internal quality assurance board.</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Aerospace Engineer Service</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c>
          <w:tcPr/>
          <w:p>
            <w:pPr>
              <w:pStyle w:val="Compact"/>
              <w:jc w:val="left"/>
            </w:pPr>
            <w:r>
              <w:t xml:space="preserve">Location</w:t>
            </w:r>
          </w:p>
        </w:tc>
      </w:tr>
      <w:tr>
        <w:tc>
          <w:tcPr/>
          <w:p>
            <w:pPr>
              <w:pStyle w:val="Compact"/>
              <w:jc w:val="left"/>
            </w:pPr>
            <w:r>
              <w:t xml:space="preserve">01</w:t>
            </w:r>
          </w:p>
        </w:tc>
        <w:tc>
          <w:tcPr/>
          <w:p>
            <w:pPr>
              <w:pStyle w:val="Compact"/>
              <w:jc w:val="left"/>
            </w:pPr>
            <w:r>
              <w:t xml:space="preserve">Structural FEA &amp; fatigue analysis — Aerospace Engineer (Senior, 15+ yrs)</w:t>
            </w:r>
          </w:p>
        </w:tc>
        <w:tc>
          <w:tcPr/>
          <w:p>
            <w:pPr>
              <w:pStyle w:val="Compact"/>
              <w:jc w:val="left"/>
            </w:pPr>
            <w:r>
              <w:t xml:space="preserve">120 hrs</w:t>
            </w:r>
          </w:p>
        </w:tc>
        <w:tc>
          <w:tcPr/>
          <w:p>
            <w:pPr>
              <w:pStyle w:val="Compact"/>
              <w:jc w:val="left"/>
            </w:pPr>
            <w:r>
              <w:t xml:space="preserve">145.00</w:t>
            </w:r>
          </w:p>
        </w:tc>
        <w:tc>
          <w:tcPr/>
          <w:p>
            <w:pPr>
              <w:pStyle w:val="Compact"/>
              <w:jc w:val="left"/>
            </w:pPr>
            <w:r>
              <w:t xml:space="preserve">17,400.00</w:t>
            </w:r>
          </w:p>
        </w:tc>
        <w:tc>
          <w:tcPr/>
          <w:p>
            <w:pPr>
              <w:pStyle w:val="Compact"/>
              <w:jc w:val="left"/>
            </w:pPr>
            <w:r>
              <w:t xml:space="preserve">Italy Rome</w:t>
            </w:r>
          </w:p>
        </w:tc>
      </w:tr>
      <w:tr>
        <w:tc>
          <w:tcPr/>
          <w:p>
            <w:pPr>
              <w:pStyle w:val="Compact"/>
              <w:jc w:val="left"/>
            </w:pPr>
            <w:r>
              <w:t xml:space="preserve">02</w:t>
            </w:r>
          </w:p>
        </w:tc>
        <w:tc>
          <w:tcPr/>
          <w:p>
            <w:pPr>
              <w:pStyle w:val="Compact"/>
              <w:jc w:val="left"/>
            </w:pPr>
            <w:r>
              <w:t xml:space="preserve">Propulsion thermodynamic &amp; thermal review — Aerospace Engineer</w:t>
            </w:r>
          </w:p>
        </w:tc>
        <w:tc>
          <w:tcPr/>
          <w:p>
            <w:pPr>
              <w:pStyle w:val="Compact"/>
              <w:jc w:val="left"/>
            </w:pPr>
            <w:r>
              <w:t xml:space="preserve">80 hrs</w:t>
            </w:r>
          </w:p>
        </w:tc>
        <w:tc>
          <w:tcPr/>
          <w:p>
            <w:pPr>
              <w:pStyle w:val="Compact"/>
              <w:jc w:val="left"/>
            </w:pPr>
            <w:r>
              <w:t xml:space="preserve">145.00</w:t>
            </w:r>
          </w:p>
        </w:tc>
        <w:tc>
          <w:tcPr/>
          <w:p>
            <w:pPr>
              <w:pStyle w:val="Compact"/>
              <w:jc w:val="left"/>
            </w:pPr>
            <w:r>
              <w:t xml:space="preserve">11,600.00</w:t>
            </w:r>
          </w:p>
        </w:tc>
        <w:tc>
          <w:tcPr/>
          <w:p>
            <w:pPr>
              <w:pStyle w:val="Compact"/>
              <w:jc w:val="left"/>
            </w:pPr>
            <w:r>
              <w:t xml:space="preserve">Italy Rome</w:t>
            </w:r>
          </w:p>
        </w:tc>
      </w:tr>
      <w:tr>
        <w:tc>
          <w:tcPr/>
          <w:p>
            <w:pPr>
              <w:pStyle w:val="Compact"/>
              <w:jc w:val="left"/>
            </w:pPr>
            <w:r>
              <w:t xml:space="preserve">03</w:t>
            </w:r>
          </w:p>
        </w:tc>
        <w:tc>
          <w:tcPr/>
          <w:p>
            <w:pPr>
              <w:pStyle w:val="Compact"/>
              <w:jc w:val="left"/>
            </w:pPr>
            <w:r>
              <w:t xml:space="preserve">ENAC / EASA compliance dossier preparation — Aerospace Engineer</w:t>
            </w:r>
          </w:p>
        </w:tc>
        <w:tc>
          <w:tcPr/>
          <w:p>
            <w:pPr>
              <w:pStyle w:val="Compact"/>
              <w:jc w:val="left"/>
            </w:pPr>
            <w:r>
              <w:t xml:space="preserve">60 hrs</w:t>
            </w:r>
          </w:p>
        </w:tc>
        <w:tc>
          <w:tcPr/>
          <w:p>
            <w:pPr>
              <w:pStyle w:val="Compact"/>
              <w:jc w:val="left"/>
            </w:pPr>
            <w:r>
              <w:t xml:space="preserve">155.00</w:t>
            </w:r>
          </w:p>
        </w:tc>
        <w:tc>
          <w:tcPr/>
          <w:p>
            <w:pPr>
              <w:pStyle w:val="Compact"/>
              <w:jc w:val="left"/>
            </w:pPr>
            <w:r>
              <w:t xml:space="preserve">9,300.00</w:t>
            </w:r>
          </w:p>
        </w:tc>
        <w:tc>
          <w:tcPr/>
          <w:p>
            <w:pPr>
              <w:pStyle w:val="Compact"/>
              <w:jc w:val="left"/>
            </w:pPr>
            <w:r>
              <w:t xml:space="preserve">Italy Rome</w:t>
            </w:r>
          </w:p>
        </w:tc>
      </w:tr>
      <w:tr>
        <w:tc>
          <w:tcPr/>
          <w:p>
            <w:pPr>
              <w:pStyle w:val="Compact"/>
              <w:jc w:val="left"/>
            </w:pPr>
            <w:r>
              <w:t xml:space="preserve">04</w:t>
            </w:r>
          </w:p>
        </w:tc>
        <w:tc>
          <w:tcPr/>
          <w:p>
            <w:pPr>
              <w:pStyle w:val="Compact"/>
              <w:jc w:val="left"/>
            </w:pPr>
            <w:r>
              <w:t xml:space="preserve">On-site design review workshops (8 sessions) — Aerospace Engineer</w:t>
            </w:r>
          </w:p>
        </w:tc>
        <w:tc>
          <w:tcPr/>
          <w:p>
            <w:pPr>
              <w:pStyle w:val="Compact"/>
              <w:jc w:val="left"/>
            </w:pPr>
            <w:r>
              <w:t xml:space="preserve">32 hrs</w:t>
            </w:r>
          </w:p>
        </w:tc>
        <w:tc>
          <w:tcPr/>
          <w:p>
            <w:pPr>
              <w:pStyle w:val="Compact"/>
              <w:jc w:val="left"/>
            </w:pPr>
            <w:r>
              <w:t xml:space="preserve">130.00</w:t>
            </w:r>
          </w:p>
        </w:tc>
        <w:tc>
          <w:tcPr/>
          <w:p>
            <w:pPr>
              <w:pStyle w:val="Compact"/>
              <w:jc w:val="left"/>
            </w:pPr>
            <w:r>
              <w:t xml:space="preserve">4,160.00</w:t>
            </w:r>
          </w:p>
        </w:tc>
        <w:tc>
          <w:tcPr/>
          <w:p>
            <w:pPr>
              <w:pStyle w:val="Compact"/>
              <w:jc w:val="left"/>
            </w:pPr>
            <w:r>
              <w:t xml:space="preserve">Italy Rome</w:t>
            </w:r>
          </w:p>
        </w:tc>
      </w:tr>
      <w:tr>
        <w:tc>
          <w:tcPr/>
          <w:p>
            <w:pPr>
              <w:pStyle w:val="Compact"/>
              <w:jc w:val="left"/>
            </w:pPr>
            <w:r>
              <w:t xml:space="preserve">05</w:t>
            </w:r>
          </w:p>
        </w:tc>
        <w:tc>
          <w:tcPr/>
          <w:p>
            <w:pPr>
              <w:pStyle w:val="Compact"/>
              <w:jc w:val="left"/>
            </w:pPr>
            <w:r>
              <w:t xml:space="preserve">Final integration report &amp; certification support (bilingual EN/IT)</w:t>
            </w:r>
          </w:p>
        </w:tc>
        <w:tc>
          <w:tcPr/>
          <w:p>
            <w:pPr>
              <w:pStyle w:val="Compact"/>
              <w:jc w:val="left"/>
            </w:pPr>
            <w:r>
              <w:t xml:space="preserve">40 hrs</w:t>
            </w:r>
          </w:p>
        </w:tc>
        <w:tc>
          <w:tcPr/>
          <w:p>
            <w:pPr>
              <w:pStyle w:val="Compact"/>
              <w:jc w:val="left"/>
            </w:pPr>
            <w:r>
              <w:t xml:space="preserve">155.00</w:t>
            </w:r>
          </w:p>
        </w:tc>
        <w:tc>
          <w:tcPr/>
          <w:p>
            <w:pPr>
              <w:pStyle w:val="Compact"/>
              <w:jc w:val="left"/>
            </w:pPr>
            <w:r>
              <w:t xml:space="preserve">6,200.00</w:t>
            </w:r>
          </w:p>
        </w:tc>
        <w:tc>
          <w:tcPr/>
          <w:p>
            <w:pPr>
              <w:pStyle w:val="Compact"/>
              <w:jc w:val="left"/>
            </w:pPr>
            <w:r>
              <w:t xml:space="preserve">Italy Rome</w:t>
            </w:r>
          </w:p>
        </w:tc>
      </w:tr>
      <w:tr>
        <w:tc>
          <w:tcPr/>
          <w:p>
            <w:pPr>
              <w:pStyle w:val="Compact"/>
              <w:jc w:val="left"/>
            </w:pPr>
            <w:r>
              <w:t xml:space="preserve">06</w:t>
            </w:r>
          </w:p>
        </w:tc>
        <w:tc>
          <w:tcPr/>
          <w:p>
            <w:pPr>
              <w:pStyle w:val="Compact"/>
              <w:jc w:val="left"/>
            </w:pPr>
            <w:r>
              <w:t xml:space="preserve">Travel, accommodation &amp; per diem within Italy Rome metropolitan area</w:t>
            </w:r>
          </w:p>
        </w:tc>
        <w:tc>
          <w:tcPr/>
          <w:p>
            <w:pPr>
              <w:pStyle w:val="Compact"/>
              <w:jc w:val="left"/>
            </w:pPr>
            <w:r>
              <w:t xml:space="preserve">12 weeks</w:t>
            </w:r>
          </w:p>
        </w:tc>
        <w:tc>
          <w:tcPr/>
          <w:p>
            <w:pPr>
              <w:pStyle w:val="Compact"/>
              <w:jc w:val="left"/>
            </w:pPr>
            <w:r>
              <w:t xml:space="preserve">Flat</w:t>
            </w:r>
          </w:p>
        </w:tc>
        <w:tc>
          <w:tcPr/>
          <w:p>
            <w:pPr>
              <w:pStyle w:val="Compact"/>
              <w:jc w:val="left"/>
            </w:pPr>
            <w:r>
              <w:t xml:space="preserve">3,840.00</w:t>
            </w:r>
          </w:p>
        </w:tc>
        <w:tc>
          <w:tcPr/>
          <w:p>
            <w:pPr>
              <w:pStyle w:val="Compact"/>
              <w:jc w:val="left"/>
            </w:pPr>
            <w:r>
              <w:t xml:space="preserve">Italy Rome</w:t>
            </w:r>
          </w:p>
        </w:tc>
      </w:tr>
      <w:tr>
        <w:tc>
          <w:tcPr/>
          <w:p>
            <w:pPr>
              <w:pStyle w:val="Compact"/>
              <w:jc w:val="left"/>
            </w:pPr>
            <w:r>
              <w:t xml:space="preserve">07</w:t>
            </w:r>
          </w:p>
        </w:tc>
        <w:tc>
          <w:tcPr/>
          <w:p>
            <w:pPr>
              <w:pStyle w:val="Compact"/>
              <w:jc w:val="left"/>
            </w:pPr>
            <w:r>
              <w:t xml:space="preserve">Software licence surcharge (ANSYS / NASTRAN seat allocation)</w:t>
            </w:r>
          </w:p>
        </w:tc>
        <w:tc>
          <w:tcPr/>
          <w:p>
            <w:pPr>
              <w:pStyle w:val="Compact"/>
              <w:jc w:val="left"/>
            </w:pPr>
            <w:r>
              <w:t xml:space="preserve">12 weeks</w:t>
            </w:r>
          </w:p>
        </w:tc>
        <w:tc>
          <w:tcPr/>
          <w:p>
            <w:pPr>
              <w:pStyle w:val="Compact"/>
              <w:jc w:val="left"/>
            </w:pPr>
            <w:r>
              <w:t xml:space="preserve">Flat</w:t>
            </w:r>
          </w:p>
        </w:tc>
        <w:tc>
          <w:tcPr/>
          <w:p>
            <w:pPr>
              <w:pStyle w:val="Compact"/>
              <w:jc w:val="left"/>
            </w:pPr>
            <w:r>
              <w:t xml:space="preserve">2,400.00</w:t>
            </w:r>
          </w:p>
        </w:tc>
        <w:tc>
          <w:tcPr/>
          <w:p>
            <w:pPr>
              <w:pStyle w:val="Compact"/>
              <w:jc w:val="left"/>
            </w:pPr>
            <w:r>
              <w:t xml:space="preserve">Italy Rome</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54,900.00 EUR</w:t>
            </w:r>
          </w:p>
        </w:tc>
      </w:tr>
      <w:tr>
        <w:tc>
          <w:tcPr/>
          <w:p>
            <w:pPr>
              <w:pStyle w:val="Compact"/>
              <w:jc w:val="left"/>
            </w:pPr>
            <w:r>
              <w:t xml:space="preserve">VAT (22% — Italian standard rate)</w:t>
            </w:r>
          </w:p>
        </w:tc>
        <w:tc>
          <w:tcPr/>
          <w:p>
            <w:pPr>
              <w:pStyle w:val="Compact"/>
              <w:jc w:val="right"/>
            </w:pPr>
            <w:r>
              <w:t xml:space="preserve">12,078.00 EUR</w:t>
            </w:r>
          </w:p>
        </w:tc>
      </w:tr>
      <w:tr>
        <w:tc>
          <w:tcPr/>
          <w:p>
            <w:pPr>
              <w:pStyle w:val="Compact"/>
              <w:jc w:val="left"/>
            </w:pPr>
            <w:r>
              <w:t xml:space="preserve">Grand Total (Incl. VAT)</w:t>
            </w:r>
          </w:p>
        </w:tc>
        <w:tc>
          <w:tcPr/>
          <w:p>
            <w:pPr>
              <w:pStyle w:val="Compact"/>
              <w:jc w:val="right"/>
            </w:pPr>
            <w:r>
              <w:t xml:space="preserve">66,978.00 EUR</w:t>
            </w:r>
          </w:p>
        </w:tc>
      </w:tr>
    </w:tbl>
    <w:bookmarkEnd w:id="23"/>
    <w:bookmarkStart w:id="24" w:name="payment-terms"/>
    <w:p>
      <w:pPr>
        <w:pStyle w:val="Heading2"/>
      </w:pPr>
      <w:r>
        <w:t xml:space="preserve">4. Payment Terms</w:t>
      </w:r>
    </w:p>
    <w:p>
      <w:pPr>
        <w:pStyle w:val="FirstParagraph"/>
      </w:pPr>
      <w:r>
        <w:t xml:space="preserve">Payment for the services outlined in this</w:t>
      </w:r>
      <w:r>
        <w:t xml:space="preserve"> </w:t>
      </w:r>
      <w:r>
        <w:t xml:space="preserve">Quotation Estimate</w:t>
      </w:r>
      <w:r>
        <w:t xml:space="preserve"> </w:t>
      </w:r>
      <w:r>
        <w:t xml:space="preserve">shall be made in three (3) equal instalments: 40% upon contract execution, 40% upon delivery of the interim FEA and propulsion review reports, and 20% upon acceptance of the final integration report. All payments shall be remitted via bank transfer to the account of TechAero Consulting S.r.l., Rome, Italy, within thirty (30) days of invoice date. Late payments shall accrue interest at the rate prescribed by Italian Legislative Decree 231/2002.</w:t>
      </w:r>
    </w:p>
    <w:bookmarkEnd w:id="24"/>
    <w:bookmarkStart w:id="25" w:name="terms-conditions"/>
    <w:p>
      <w:pPr>
        <w:pStyle w:val="Heading2"/>
      </w:pPr>
      <w:r>
        <w:t xml:space="preserve">5. Terms &amp; Conditions</w:t>
      </w:r>
    </w:p>
    <w:p>
      <w:pPr>
        <w:numPr>
          <w:ilvl w:val="0"/>
          <w:numId w:val="1001"/>
        </w:numPr>
        <w:pStyle w:val="Compact"/>
      </w:pPr>
      <w:r>
        <w:t xml:space="preserve">This</w:t>
      </w:r>
      <w:r>
        <w:t xml:space="preserve"> </w:t>
      </w:r>
      <w:r>
        <w:t xml:space="preserve">Quotation Estimate</w:t>
      </w:r>
      <w:r>
        <w:t xml:space="preserve"> </w:t>
      </w:r>
      <w:r>
        <w:t xml:space="preserve">is valid for ninety (90) days from the date of issue. Thereafter, rates for the</w:t>
      </w:r>
      <w:r>
        <w:t xml:space="preserve"> </w:t>
      </w:r>
      <w:r>
        <w:t xml:space="preserve">Aerospace Engineer</w:t>
      </w:r>
      <w:r>
        <w:t xml:space="preserve"> </w:t>
      </w:r>
      <w:r>
        <w:t xml:space="preserve">and associated costs may be adjusted to reflect market conditions in</w:t>
      </w:r>
      <w:r>
        <w:t xml:space="preserve"> </w:t>
      </w:r>
      <w:r>
        <w:t xml:space="preserve">Italy Rome</w:t>
      </w:r>
      <w:r>
        <w:t xml:space="preserve">.</w:t>
      </w:r>
    </w:p>
    <w:p>
      <w:pPr>
        <w:numPr>
          <w:ilvl w:val="0"/>
          <w:numId w:val="1001"/>
        </w:numPr>
        <w:pStyle w:val="Compact"/>
      </w:pPr>
      <w:r>
        <w:t xml:space="preserve">The</w:t>
      </w:r>
      <w:r>
        <w:t xml:space="preserve"> </w:t>
      </w:r>
      <w:r>
        <w:t xml:space="preserve">Aerospace Engineer</w:t>
      </w:r>
      <w:r>
        <w:t xml:space="preserve"> </w:t>
      </w:r>
      <w:r>
        <w:t xml:space="preserve">shall comply with all health, safety, and security protocols in force at the client’s</w:t>
      </w:r>
      <w:r>
        <w:t xml:space="preserve"> </w:t>
      </w:r>
      <w:r>
        <w:t xml:space="preserve">Italy Rome</w:t>
      </w:r>
      <w:r>
        <w:t xml:space="preserve"> </w:t>
      </w:r>
      <w:r>
        <w:t xml:space="preserve">facility, including but not limited to PPE requirements and restricted-area access procedures.</w:t>
      </w:r>
    </w:p>
    <w:p>
      <w:pPr>
        <w:numPr>
          <w:ilvl w:val="0"/>
          <w:numId w:val="1001"/>
        </w:numPr>
        <w:pStyle w:val="Compact"/>
      </w:pPr>
      <w:r>
        <w:t xml:space="preserve">All intellectual property generated during the course of this engagement shall vest in the client upon full payment, subject to the background IP of the</w:t>
      </w:r>
      <w:r>
        <w:t xml:space="preserve"> </w:t>
      </w:r>
      <w:r>
        <w:t xml:space="preserve">Aerospace Engineer</w:t>
      </w:r>
      <w:r>
        <w:t xml:space="preserve"> </w:t>
      </w:r>
      <w:r>
        <w:t xml:space="preserve">and TechAero Consulting S.r.l.</w:t>
      </w:r>
    </w:p>
    <w:p>
      <w:pPr>
        <w:numPr>
          <w:ilvl w:val="0"/>
          <w:numId w:val="1001"/>
        </w:numPr>
        <w:pStyle w:val="Compact"/>
      </w:pPr>
      <w:r>
        <w:t xml:space="preserve">Confidentiality obligations shall survive termination of this contract for a period of five (5) years, in accordance with Italian Law No. 633/1941 (Copyright Act) and the EU General Data Protection Regulation (GDPR).</w:t>
      </w:r>
    </w:p>
    <w:p>
      <w:pPr>
        <w:numPr>
          <w:ilvl w:val="0"/>
          <w:numId w:val="1001"/>
        </w:numPr>
        <w:pStyle w:val="Compact"/>
      </w:pPr>
      <w:r>
        <w:t xml:space="preserve">Any dispute arising from this</w:t>
      </w:r>
      <w:r>
        <w:t xml:space="preserve"> </w:t>
      </w:r>
      <w:r>
        <w:t xml:space="preserve">Quotation Estimate</w:t>
      </w:r>
      <w:r>
        <w:t xml:space="preserve"> </w:t>
      </w:r>
      <w:r>
        <w:t xml:space="preserve">or the resulting contract shall be resolved by the competent courts of Rome, Italy, or by arbitration under the rules of the Italian Chamber of Commerce in Rome, at the client’s election.</w:t>
      </w:r>
    </w:p>
    <w:p>
      <w:pPr>
        <w:numPr>
          <w:ilvl w:val="0"/>
          <w:numId w:val="1001"/>
        </w:numPr>
        <w:pStyle w:val="Compact"/>
      </w:pPr>
      <w:r>
        <w:t xml:space="preserve">The</w:t>
      </w:r>
      <w:r>
        <w:t xml:space="preserve"> </w:t>
      </w:r>
      <w:r>
        <w:t xml:space="preserve">Aerospace Engineer</w:t>
      </w:r>
      <w:r>
        <w:t xml:space="preserve"> </w:t>
      </w:r>
      <w:r>
        <w:t xml:space="preserve">shall not be engaged in any concurrent project that presents a conflict of interest with the client’s programme without prior written consent.</w:t>
      </w:r>
    </w:p>
    <w:p>
      <w:pPr>
        <w:numPr>
          <w:ilvl w:val="0"/>
          <w:numId w:val="1001"/>
        </w:numPr>
        <w:pStyle w:val="Compact"/>
      </w:pPr>
      <w:r>
        <w:t xml:space="preserve">This</w:t>
      </w:r>
      <w:r>
        <w:t xml:space="preserve"> </w:t>
      </w:r>
      <w:r>
        <w:t xml:space="preserve">Quotation Estimate</w:t>
      </w:r>
      <w:r>
        <w:t xml:space="preserve"> </w:t>
      </w:r>
      <w:r>
        <w:t xml:space="preserve">does not constitute a contract until countersigned by both parties. The governing law shall be the law of the Italian Republic.</w:t>
      </w:r>
    </w:p>
    <w:bookmarkEnd w:id="25"/>
    <w:bookmarkStart w:id="26" w:name="acceptance-signature"/>
    <w:p>
      <w:pPr>
        <w:pStyle w:val="Heading2"/>
      </w:pPr>
      <w:r>
        <w:t xml:space="preserve">6. Acceptance &amp; Signature</w:t>
      </w:r>
    </w:p>
    <w:p>
      <w:pPr>
        <w:pStyle w:val="FirstParagraph"/>
      </w:pPr>
      <w:r>
        <w:t xml:space="preserve">By signing below, both parties acknowledge that they have read, understood, and agree to the terms set forth in this</w:t>
      </w:r>
      <w:r>
        <w:t xml:space="preserve"> </w:t>
      </w:r>
      <w:r>
        <w:t xml:space="preserve">Quotation Estimate</w:t>
      </w:r>
      <w:r>
        <w:t xml:space="preserve"> </w:t>
      </w:r>
      <w:r>
        <w:t xml:space="preserve">for the engagement of the</w:t>
      </w:r>
      <w:r>
        <w:t xml:space="preserve"> </w:t>
      </w:r>
      <w:r>
        <w:t xml:space="preserve">Aerospace Engineer</w:t>
      </w:r>
      <w:r>
        <w:t xml:space="preserve"> </w:t>
      </w:r>
      <w:r>
        <w:t xml:space="preserve">in</w:t>
      </w:r>
      <w:r>
        <w:t xml:space="preserve"> </w:t>
      </w:r>
      <w:r>
        <w:t xml:space="preserve">Italy Rome</w:t>
      </w:r>
      <w:r>
        <w:t xml:space="preserve">.</w:t>
      </w:r>
    </w:p>
    <w:p>
      <w:pPr>
        <w:pStyle w:val="BodyText"/>
      </w:pPr>
      <w:r>
        <w:rPr>
          <w:bCs/>
          <w:b/>
        </w:rPr>
        <w:t xml:space="preserve">For TechAero Consulting S.r.l.</w:t>
      </w:r>
    </w:p>
    <w:p>
      <w:pPr>
        <w:pStyle w:val="BodyText"/>
      </w:pPr>
      <w:r>
        <w:t xml:space="preserve">Name: Dr. Marco Bellini</w:t>
      </w:r>
    </w:p>
    <w:p>
      <w:pPr>
        <w:pStyle w:val="BodyText"/>
      </w:pPr>
      <w:r>
        <w:t xml:space="preserve">Title: Managing Director</w:t>
      </w:r>
    </w:p>
    <w:p>
      <w:pPr>
        <w:pStyle w:val="BodyText"/>
      </w:pPr>
      <w:r>
        <w:t xml:space="preserve">Signature &amp; Date</w:t>
      </w:r>
    </w:p>
    <w:p>
      <w:pPr>
        <w:pStyle w:val="BodyText"/>
      </w:pPr>
      <w:r>
        <w:rPr>
          <w:bCs/>
          <w:b/>
        </w:rPr>
        <w:t xml:space="preserve">For European Aerospace Research Consortium</w:t>
      </w:r>
    </w:p>
    <w:p>
      <w:pPr>
        <w:pStyle w:val="BodyText"/>
      </w:pPr>
      <w:r>
        <w:t xml:space="preserve">Name: ______________________</w:t>
      </w:r>
    </w:p>
    <w:p>
      <w:pPr>
        <w:pStyle w:val="BodyText"/>
      </w:pPr>
      <w:r>
        <w:t xml:space="preserve">Title: ______________________</w:t>
      </w:r>
    </w:p>
    <w:p>
      <w:pPr>
        <w:pStyle w:val="BodyText"/>
      </w:pPr>
      <w:r>
        <w:t xml:space="preserve">Signature &amp; Date</w:t>
      </w:r>
    </w:p>
    <w:p>
      <w:pPr>
        <w:pStyle w:val="BodyText"/>
      </w:pPr>
      <w:r>
        <w:t xml:space="preserve">Quotation Estimate QE-ROME-AE-2025-0472 — Aerospace Engineer Services — Italy Rome</w:t>
      </w:r>
    </w:p>
    <w:p>
      <w:pPr>
        <w:pStyle w:val="BodyText"/>
      </w:pPr>
      <w:r>
        <w:t xml:space="preserve">TechAero Consulting S.r.l. | Via dell’Aeronautica 42, 00144 Rome, Italy | P.IVA IT09876543210 | info@techaeo-rome.it</w:t>
      </w:r>
    </w:p>
    <w:p>
      <w:pPr>
        <w:pStyle w:val="BodyText"/>
      </w:pPr>
      <w:r>
        <w:t xml:space="preserve">This document is the property of TechAero Consulting S.r.l. and is issued solely for the named client. Unauthorised reproduction or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Aerospace Engineer Services - Italy Rome</dc:title>
  <dc:creator/>
  <dc:language>en</dc:language>
  <cp:keywords/>
  <dcterms:created xsi:type="dcterms:W3CDTF">2026-10-10T03:08:10Z</dcterms:created>
  <dcterms:modified xsi:type="dcterms:W3CDTF">2026-10-10T03:08:10Z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