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quotation-estimate"/>
    <w:p>
      <w:pPr>
        <w:pStyle w:val="Heading1"/>
      </w:pPr>
      <w:r>
        <w:t xml:space="preserve">Quotation Estimate</w:t>
      </w:r>
    </w:p>
    <w:p>
      <w:pPr>
        <w:pStyle w:val="FirstParagraph"/>
      </w:pPr>
      <w:r>
        <w:rPr>
          <w:bCs/>
          <w:b/>
        </w:rPr>
        <w:t xml:space="preserve">Kenya Aerospace Engineering Solutions Ltd.</w:t>
      </w:r>
    </w:p>
    <w:p>
      <w:pPr>
        <w:pStyle w:val="BodyText"/>
      </w:pPr>
      <w:r>
        <w:t xml:space="preserve">P.O. Box 4521, Nairobi, Kenya | Tel: +254 700 123 456 | Email: quotes@kenya-aero-eng.co.ke</w:t>
      </w:r>
    </w:p>
    <w:p>
      <w:pPr>
        <w:pStyle w:val="BodyText"/>
      </w:pPr>
      <w:r>
        <w:t xml:space="preserve">Physical Address: 4th Floor, Kenyatta Avenue, Westlands, Kenya Nairobi</w:t>
      </w:r>
    </w:p>
    <w:bookmarkEnd w:id="20"/>
    <w:p>
      <w:pPr>
        <w:pStyle w:val="BodyText"/>
      </w:pPr>
      <w:r>
        <w:rPr>
          <w:bCs/>
          <w:b/>
        </w:rPr>
        <w:t xml:space="preserve">Quotation No.:</w:t>
      </w:r>
      <w:r>
        <w:t xml:space="preserve"> </w:t>
      </w:r>
      <w:r>
        <w:t xml:space="preserve">KAE-2025-QE-00847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For:</w:t>
      </w:r>
      <w:r>
        <w:t xml:space="preserve"> </w:t>
      </w:r>
      <w:r>
        <w:t xml:space="preserve">East African Aviation Authority</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Kenya Aerospace Engineering Solutions Ltd. to provide a comprehensive, itemized financial projection for the engagement of a senior</w:t>
      </w:r>
      <w:r>
        <w:t xml:space="preserve"> </w:t>
      </w:r>
      <w:r>
        <w:t xml:space="preserve">Aerospace Engineer</w:t>
      </w:r>
      <w:r>
        <w:t xml:space="preserve"> </w:t>
      </w:r>
      <w:r>
        <w:t xml:space="preserve">to deliver specialized consultancy and technical oversight services within the Kenya Nairobi metropolitan area and its surrounding aviation infrastructure. This document serves as a binding financial reference for the proposed scope of work and is intended to enable the client to make an informed procurement decision in accordance with the Public Procurement and Asset Disposal Act (2015) of the Republic of Kenya.</w:t>
      </w:r>
    </w:p>
    <w:p>
      <w:pPr>
        <w:pStyle w:val="BodyText"/>
      </w:pPr>
      <w:r>
        <w:t xml:space="preserve">The</w:t>
      </w:r>
      <w:r>
        <w:t xml:space="preserve"> </w:t>
      </w:r>
      <w:r>
        <w:t xml:space="preserve">Aerospace Engineer</w:t>
      </w:r>
      <w:r>
        <w:t xml:space="preserve"> </w:t>
      </w:r>
      <w:r>
        <w:t xml:space="preserve">proposed for this engagement holds a Master of Science in Aeronautical Engineering from the University of Nairobi, possesses over twelve (12) years of progressive experience in aircraft structural analysis, propulsion system design, and flight dynamics modelling, and is fully registered with the Engineering Board of Kenya (EBK) under licence number EBK/AE/2013/0442. All services described in this</w:t>
      </w:r>
      <w:r>
        <w:t xml:space="preserve"> </w:t>
      </w:r>
      <w:r>
        <w:t xml:space="preserve">Quotation Estimate</w:t>
      </w:r>
      <w:r>
        <w:t xml:space="preserve"> </w:t>
      </w:r>
      <w:r>
        <w:t xml:space="preserve">will be executed in full compliance with Kenya Civil Aviation Authority (KCAA) regulations, ICAO Annex 8 standards, and applicable ISO 9001:2015 quality management protocols.</w:t>
      </w:r>
    </w:p>
    <w:bookmarkEnd w:id="21"/>
    <w:bookmarkStart w:id="22" w:name="scope-of-work"/>
    <w:p>
      <w:pPr>
        <w:pStyle w:val="Heading2"/>
      </w:pPr>
      <w:r>
        <w:t xml:space="preserve">2. Scope of Work</w:t>
      </w:r>
    </w:p>
    <w:p>
      <w:pPr>
        <w:pStyle w:val="FirstParagraph"/>
      </w:pPr>
      <w:r>
        <w:t xml:space="preserve">The</w:t>
      </w:r>
      <w:r>
        <w:t xml:space="preserve"> </w:t>
      </w:r>
      <w:r>
        <w:t xml:space="preserve">Aerospace Engineer</w:t>
      </w:r>
      <w:r>
        <w:t xml:space="preserve"> </w:t>
      </w:r>
      <w:r>
        <w:t xml:space="preserve">shall perform the following duties and deliverables as part of the contracted engagement in Kenya Nairobi:</w:t>
      </w:r>
    </w:p>
    <w:p>
      <w:pPr>
        <w:numPr>
          <w:ilvl w:val="0"/>
          <w:numId w:val="1001"/>
        </w:numPr>
        <w:pStyle w:val="Compact"/>
      </w:pPr>
      <w:r>
        <w:t xml:space="preserve">Conduct a full structural integrity assessment of the client's fleet of Cessna 208B and ATR 72-600 aircraft parked at Wilson Airport, Kenya Nairobi, including non-destructive testing (NDT) of primary and secondary airframe components.</w:t>
      </w:r>
    </w:p>
    <w:p>
      <w:pPr>
        <w:numPr>
          <w:ilvl w:val="0"/>
          <w:numId w:val="1001"/>
        </w:numPr>
        <w:pStyle w:val="Compact"/>
      </w:pPr>
      <w:r>
        <w:t xml:space="preserve">Develop and deliver a comprehensive propulsion system performance analysis report covering engine cycle efficiency, fuel consumption modelling, and emissions compliance in line with Kenya's National Air Quality Management Strategy.</w:t>
      </w:r>
    </w:p>
    <w:p>
      <w:pPr>
        <w:numPr>
          <w:ilvl w:val="0"/>
          <w:numId w:val="1001"/>
        </w:numPr>
        <w:pStyle w:val="Compact"/>
      </w:pPr>
      <w:r>
        <w:t xml:space="preserve">Provide on-site technical supervision and quality assurance during scheduled heavy maintenance checks (C-Check and D-Check) at the client's maintenance, repair, and overhaul (MRO) facility located in Embakasi, Kenya Nairobi.</w:t>
      </w:r>
    </w:p>
    <w:p>
      <w:pPr>
        <w:numPr>
          <w:ilvl w:val="0"/>
          <w:numId w:val="1001"/>
        </w:numPr>
        <w:pStyle w:val="Compact"/>
      </w:pPr>
      <w:r>
        <w:t xml:space="preserve">Prepare a detailed flight dynamics and stability analysis for proposed modifications to the aircraft's centre of gravity envelope, including computational fluid dynamics (CFD) simulations and wind-tunnel correlation data.</w:t>
      </w:r>
    </w:p>
    <w:p>
      <w:pPr>
        <w:numPr>
          <w:ilvl w:val="0"/>
          <w:numId w:val="1001"/>
        </w:numPr>
        <w:pStyle w:val="Compact"/>
      </w:pPr>
      <w:r>
        <w:t xml:space="preserve">Deliver a written technical advisory memorandum to the Kenya Civil Aviation Authority regarding proposed airworthiness directives applicable to the client's operational fleet.</w:t>
      </w:r>
    </w:p>
    <w:p>
      <w:pPr>
        <w:numPr>
          <w:ilvl w:val="0"/>
          <w:numId w:val="1001"/>
        </w:numPr>
        <w:pStyle w:val="Compact"/>
      </w:pPr>
      <w:r>
        <w:t xml:space="preserve">Conduct two (2) on-site training workshops for the client's ground engineering team at the Kenya Nairobi training centre, covering advanced composite repair techniques and avionics integration standards.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(KES)</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Senior Aerospace Engineer – Professional Consultancy Fee (structural assessment, propulsion analysis, flight dynamics modelling)</w:t>
            </w:r>
          </w:p>
        </w:tc>
        <w:tc>
          <w:tcPr/>
          <w:p>
            <w:pPr>
              <w:pStyle w:val="Compact"/>
              <w:jc w:val="left"/>
            </w:pPr>
            <w:r>
              <w:t xml:space="preserve">60 days</w:t>
            </w:r>
          </w:p>
        </w:tc>
        <w:tc>
          <w:tcPr/>
          <w:p>
            <w:pPr>
              <w:pStyle w:val="Compact"/>
              <w:jc w:val="left"/>
            </w:pPr>
            <w:r>
              <w:t xml:space="preserve">85,000</w:t>
            </w:r>
          </w:p>
        </w:tc>
        <w:tc>
          <w:tcPr/>
          <w:p>
            <w:pPr>
              <w:pStyle w:val="Compact"/>
              <w:jc w:val="left"/>
            </w:pPr>
            <w:r>
              <w:t xml:space="preserve">5,100,000</w:t>
            </w:r>
          </w:p>
        </w:tc>
      </w:tr>
      <w:tr>
        <w:tc>
          <w:tcPr/>
          <w:p>
            <w:pPr>
              <w:pStyle w:val="Compact"/>
              <w:jc w:val="left"/>
            </w:pPr>
            <w:r>
              <w:t xml:space="preserve">2</w:t>
            </w:r>
          </w:p>
        </w:tc>
        <w:tc>
          <w:tcPr/>
          <w:p>
            <w:pPr>
              <w:pStyle w:val="Compact"/>
              <w:jc w:val="left"/>
            </w:pPr>
            <w:r>
              <w:t xml:space="preserve">On-site MRO Technical Supervision and Quality Assurance (C-Check and D-Check oversight at Embakasi facility, Kenya Nairobi)</w:t>
            </w:r>
          </w:p>
        </w:tc>
        <w:tc>
          <w:tcPr/>
          <w:p>
            <w:pPr>
              <w:pStyle w:val="Compact"/>
              <w:jc w:val="left"/>
            </w:pPr>
            <w:r>
              <w:t xml:space="preserve">30 days</w:t>
            </w:r>
          </w:p>
        </w:tc>
        <w:tc>
          <w:tcPr/>
          <w:p>
            <w:pPr>
              <w:pStyle w:val="Compact"/>
              <w:jc w:val="left"/>
            </w:pPr>
            <w:r>
              <w:t xml:space="preserve">72,000</w:t>
            </w:r>
          </w:p>
        </w:tc>
        <w:tc>
          <w:tcPr/>
          <w:p>
            <w:pPr>
              <w:pStyle w:val="Compact"/>
              <w:jc w:val="left"/>
            </w:pPr>
            <w:r>
              <w:t xml:space="preserve">2,160,000</w:t>
            </w:r>
          </w:p>
        </w:tc>
      </w:tr>
      <w:tr>
        <w:tc>
          <w:tcPr/>
          <w:p>
            <w:pPr>
              <w:pStyle w:val="Compact"/>
              <w:jc w:val="left"/>
            </w:pPr>
            <w:r>
              <w:t xml:space="preserve">3</w:t>
            </w:r>
          </w:p>
        </w:tc>
        <w:tc>
          <w:tcPr/>
          <w:p>
            <w:pPr>
              <w:pStyle w:val="Compact"/>
              <w:jc w:val="left"/>
            </w:pPr>
            <w:r>
              <w:t xml:space="preserve">CFD Simulation and Wind-Tunnel Correlation Analysis (software licensing, computational resources, and data processing)</w:t>
            </w:r>
          </w:p>
        </w:tc>
        <w:tc>
          <w:tcPr/>
          <w:p>
            <w:pPr>
              <w:pStyle w:val="Compact"/>
              <w:jc w:val="left"/>
            </w:pPr>
            <w:r>
              <w:t xml:space="preserve">1 lot</w:t>
            </w:r>
          </w:p>
        </w:tc>
        <w:tc>
          <w:tcPr/>
          <w:p>
            <w:pPr>
              <w:pStyle w:val="Compact"/>
              <w:jc w:val="left"/>
            </w:pPr>
            <w:r>
              <w:t xml:space="preserve">1,450,000</w:t>
            </w:r>
          </w:p>
        </w:tc>
        <w:tc>
          <w:tcPr/>
          <w:p>
            <w:pPr>
              <w:pStyle w:val="Compact"/>
              <w:jc w:val="left"/>
            </w:pPr>
            <w:r>
              <w:t xml:space="preserve">1,450,000</w:t>
            </w:r>
          </w:p>
        </w:tc>
      </w:tr>
      <w:tr>
        <w:tc>
          <w:tcPr/>
          <w:p>
            <w:pPr>
              <w:pStyle w:val="Compact"/>
              <w:jc w:val="left"/>
            </w:pPr>
            <w:r>
              <w:t xml:space="preserve">4</w:t>
            </w:r>
          </w:p>
        </w:tc>
        <w:tc>
          <w:tcPr/>
          <w:p>
            <w:pPr>
              <w:pStyle w:val="Compact"/>
              <w:jc w:val="left"/>
            </w:pPr>
            <w:r>
              <w:t xml:space="preserve">Technical Advisory Memorandum Preparation and KCAA Submission Support</w:t>
            </w:r>
          </w:p>
        </w:tc>
        <w:tc>
          <w:tcPr/>
          <w:p>
            <w:pPr>
              <w:pStyle w:val="Compact"/>
              <w:jc w:val="left"/>
            </w:pPr>
            <w:r>
              <w:t xml:space="preserve">1 lot</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5</w:t>
            </w:r>
          </w:p>
        </w:tc>
        <w:tc>
          <w:tcPr/>
          <w:p>
            <w:pPr>
              <w:pStyle w:val="Compact"/>
              <w:jc w:val="left"/>
            </w:pPr>
            <w:r>
              <w:t xml:space="preserve">Training Workshops – Composite Repair and Avionics Integration (2 sessions, up to 25 participants each, at Kenya Nairobi training centre)</w:t>
            </w:r>
          </w:p>
        </w:tc>
        <w:tc>
          <w:tcPr/>
          <w:p>
            <w:pPr>
              <w:pStyle w:val="Compact"/>
              <w:jc w:val="left"/>
            </w:pPr>
            <w:r>
              <w:t xml:space="preserve">2 sessions</w:t>
            </w:r>
          </w:p>
        </w:tc>
        <w:tc>
          <w:tcPr/>
          <w:p>
            <w:pPr>
              <w:pStyle w:val="Compact"/>
              <w:jc w:val="left"/>
            </w:pPr>
            <w:r>
              <w:t xml:space="preserve">425,000</w:t>
            </w:r>
          </w:p>
        </w:tc>
        <w:tc>
          <w:tcPr/>
          <w:p>
            <w:pPr>
              <w:pStyle w:val="Compact"/>
              <w:jc w:val="left"/>
            </w:pPr>
            <w:r>
              <w:t xml:space="preserve">850,000</w:t>
            </w:r>
          </w:p>
        </w:tc>
      </w:tr>
      <w:tr>
        <w:tc>
          <w:tcPr/>
          <w:p>
            <w:pPr>
              <w:pStyle w:val="Compact"/>
              <w:jc w:val="left"/>
            </w:pPr>
            <w:r>
              <w:t xml:space="preserve">6</w:t>
            </w:r>
          </w:p>
        </w:tc>
        <w:tc>
          <w:tcPr/>
          <w:p>
            <w:pPr>
              <w:pStyle w:val="Compact"/>
              <w:jc w:val="left"/>
            </w:pPr>
            <w:r>
              <w:t xml:space="preserve">Travel, Accommodation, and Local Transportation within Kenya Nairobi and surrounding counties</w:t>
            </w:r>
          </w:p>
        </w:tc>
        <w:tc>
          <w:tcPr/>
          <w:p>
            <w:pPr>
              <w:pStyle w:val="Compact"/>
              <w:jc w:val="left"/>
            </w:pPr>
            <w:r>
              <w:t xml:space="preserve">90 days</w:t>
            </w:r>
          </w:p>
        </w:tc>
        <w:tc>
          <w:tcPr/>
          <w:p>
            <w:pPr>
              <w:pStyle w:val="Compact"/>
              <w:jc w:val="left"/>
            </w:pPr>
            <w:r>
              <w:t xml:space="preserve">18,000</w:t>
            </w:r>
          </w:p>
        </w:tc>
        <w:tc>
          <w:tcPr/>
          <w:p>
            <w:pPr>
              <w:pStyle w:val="Compact"/>
              <w:jc w:val="left"/>
            </w:pPr>
            <w:r>
              <w:t xml:space="preserve">1,620,000</w:t>
            </w:r>
          </w:p>
        </w:tc>
      </w:tr>
      <w:tr>
        <w:tc>
          <w:tcPr/>
          <w:p>
            <w:pPr>
              <w:pStyle w:val="Compact"/>
              <w:jc w:val="left"/>
            </w:pPr>
            <w:r>
              <w:t xml:space="preserve">7</w:t>
            </w:r>
          </w:p>
        </w:tc>
        <w:tc>
          <w:tcPr/>
          <w:p>
            <w:pPr>
              <w:pStyle w:val="Compact"/>
              <w:jc w:val="left"/>
            </w:pPr>
            <w:r>
              <w:t xml:space="preserve">Specialized NDT Equipment Rental (ultrasonic, eddy current, and radiographic testing kits)</w:t>
            </w:r>
          </w:p>
        </w:tc>
        <w:tc>
          <w:tcPr/>
          <w:p>
            <w:pPr>
              <w:pStyle w:val="Compact"/>
              <w:jc w:val="left"/>
            </w:pPr>
            <w:r>
              <w:t xml:space="preserve">15 days</w:t>
            </w:r>
          </w:p>
        </w:tc>
        <w:tc>
          <w:tcPr/>
          <w:p>
            <w:pPr>
              <w:pStyle w:val="Compact"/>
              <w:jc w:val="left"/>
            </w:pPr>
            <w:r>
              <w:t xml:space="preserve">95,000</w:t>
            </w:r>
          </w:p>
        </w:tc>
        <w:tc>
          <w:tcPr/>
          <w:p>
            <w:pPr>
              <w:pStyle w:val="Compact"/>
              <w:jc w:val="left"/>
            </w:pPr>
            <w:r>
              <w:t xml:space="preserve">1,425,000</w:t>
            </w:r>
          </w:p>
        </w:tc>
      </w:tr>
      <w:tr>
        <w:tc>
          <w:tcPr/>
          <w:p>
            <w:pPr>
              <w:pStyle w:val="Compact"/>
              <w:jc w:val="left"/>
            </w:pPr>
            <w:r>
              <w:t xml:space="preserve">8</w:t>
            </w:r>
          </w:p>
        </w:tc>
        <w:tc>
          <w:tcPr/>
          <w:p>
            <w:pPr>
              <w:pStyle w:val="Compact"/>
              <w:jc w:val="left"/>
            </w:pPr>
            <w:r>
              <w:t xml:space="preserve">Project Management, Reporting, and Administrative Overhead (10% of subtotal)</w:t>
            </w:r>
          </w:p>
        </w:tc>
        <w:tc>
          <w:tcPr/>
          <w:p>
            <w:pPr>
              <w:pStyle w:val="Compact"/>
              <w:jc w:val="left"/>
            </w:pPr>
            <w:r>
              <w:t xml:space="preserve">1 lot</w:t>
            </w:r>
          </w:p>
        </w:tc>
        <w:tc>
          <w:tcPr/>
          <w:p>
            <w:pPr>
              <w:pStyle w:val="Compact"/>
              <w:jc w:val="left"/>
            </w:pPr>
            <w:r>
              <w:t xml:space="preserve">—</w:t>
            </w:r>
          </w:p>
        </w:tc>
        <w:tc>
          <w:tcPr/>
          <w:p>
            <w:pPr>
              <w:pStyle w:val="Compact"/>
              <w:jc w:val="left"/>
            </w:pPr>
            <w:r>
              <w:t xml:space="preserve">1,304,500</w:t>
            </w:r>
          </w:p>
        </w:tc>
      </w:tr>
      <w:tr>
        <w:tc>
          <w:tcPr>
            <w:gridSpan w:val="4"/>
          </w:tcPr>
          <w:p>
            <w:pPr>
              <w:pStyle w:val="Compact"/>
              <w:jc w:val="left"/>
            </w:pPr>
            <w:r>
              <w:t xml:space="preserve">Subtotal (KES)</w:t>
            </w:r>
          </w:p>
        </w:tc>
        <w:tc>
          <w:tcPr/>
          <w:p>
            <w:pPr>
              <w:pStyle w:val="Compact"/>
              <w:jc w:val="left"/>
            </w:pPr>
            <w:r>
              <w:t xml:space="preserve">14,289,500</w:t>
            </w:r>
          </w:p>
        </w:tc>
      </w:tr>
      <w:tr>
        <w:tc>
          <w:tcPr>
            <w:gridSpan w:val="4"/>
          </w:tcPr>
          <w:p>
            <w:pPr>
              <w:pStyle w:val="Compact"/>
              <w:jc w:val="left"/>
            </w:pPr>
            <w:r>
              <w:t xml:space="preserve">VAT @ 16% (KES)</w:t>
            </w:r>
          </w:p>
        </w:tc>
        <w:tc>
          <w:tcPr/>
          <w:p>
            <w:pPr>
              <w:pStyle w:val="Compact"/>
              <w:jc w:val="left"/>
            </w:pPr>
            <w:r>
              <w:t xml:space="preserve">2,286,320</w:t>
            </w:r>
          </w:p>
        </w:tc>
      </w:tr>
      <w:tr>
        <w:tc>
          <w:tcPr>
            <w:gridSpan w:val="4"/>
          </w:tcPr>
          <w:p>
            <w:pPr>
              <w:pStyle w:val="Compact"/>
              <w:jc w:val="left"/>
            </w:pPr>
            <w:r>
              <w:rPr>
                <w:bCs/>
                <w:b/>
              </w:rPr>
              <w:t xml:space="preserve">TOTAL ESTIMATED COST (KES)</w:t>
            </w:r>
          </w:p>
        </w:tc>
        <w:tc>
          <w:tcPr/>
          <w:p>
            <w:pPr>
              <w:pStyle w:val="Compact"/>
              <w:jc w:val="left"/>
            </w:pPr>
            <w:r>
              <w:rPr>
                <w:bCs/>
                <w:b/>
              </w:rPr>
              <w:t xml:space="preserve">16,575,820</w:t>
            </w:r>
          </w:p>
        </w:tc>
      </w:tr>
    </w:tbl>
    <w:p>
      <w:pPr>
        <w:pStyle w:val="BodyText"/>
      </w:pPr>
      <w:r>
        <w:rPr>
          <w:iCs/>
          <w:i/>
        </w:rPr>
        <w:t xml:space="preserve">All amounts are quoted in Kenyan Shillings (KES). The total estimated cost of KES 16,575,820 (Sixteen Million Five Hundred and Seventy-Five Thousand Eight Hundred and Twenty Kenyan Shillings) is inclusive of Value Added Tax at the prevailing rate of 16% as administered by the Kenya Revenue Authority.</w:t>
      </w:r>
    </w:p>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(KES)</w:t>
            </w:r>
          </w:p>
        </w:tc>
        <w:tc>
          <w:tcPr/>
          <w:p>
            <w:pPr>
              <w:pStyle w:val="Compact"/>
              <w:jc w:val="left"/>
            </w:pPr>
            <w:r>
              <w:t xml:space="preserve">Trigger</w:t>
            </w:r>
          </w:p>
        </w:tc>
      </w:tr>
      <w:tr>
        <w:tc>
          <w:tcPr/>
          <w:p>
            <w:pPr>
              <w:pStyle w:val="Compact"/>
              <w:jc w:val="left"/>
            </w:pPr>
            <w:r>
              <w:t xml:space="preserve">Advance Payment</w:t>
            </w:r>
          </w:p>
        </w:tc>
        <w:tc>
          <w:tcPr/>
          <w:p>
            <w:pPr>
              <w:pStyle w:val="Compact"/>
              <w:jc w:val="left"/>
            </w:pPr>
            <w:r>
              <w:t xml:space="preserve">30%</w:t>
            </w:r>
          </w:p>
        </w:tc>
        <w:tc>
          <w:tcPr/>
          <w:p>
            <w:pPr>
              <w:pStyle w:val="Compact"/>
              <w:jc w:val="left"/>
            </w:pPr>
            <w:r>
              <w:t xml:space="preserve">4,972,746</w:t>
            </w:r>
          </w:p>
        </w:tc>
        <w:tc>
          <w:tcPr/>
          <w:p>
            <w:pPr>
              <w:pStyle w:val="Compact"/>
              <w:jc w:val="left"/>
            </w:pPr>
            <w:r>
              <w:t xml:space="preserve">Upon signed contract and receipt of this Quotation Estimate acceptance</w:t>
            </w:r>
          </w:p>
        </w:tc>
      </w:tr>
      <w:tr>
        <w:tc>
          <w:tcPr/>
          <w:p>
            <w:pPr>
              <w:pStyle w:val="Compact"/>
              <w:jc w:val="left"/>
            </w:pPr>
            <w:r>
              <w:t xml:space="preserve">Mid-Project Payment</w:t>
            </w:r>
          </w:p>
        </w:tc>
        <w:tc>
          <w:tcPr/>
          <w:p>
            <w:pPr>
              <w:pStyle w:val="Compact"/>
              <w:jc w:val="left"/>
            </w:pPr>
            <w:r>
              <w:t xml:space="preserve">40%</w:t>
            </w:r>
          </w:p>
        </w:tc>
        <w:tc>
          <w:tcPr/>
          <w:p>
            <w:pPr>
              <w:pStyle w:val="Compact"/>
              <w:jc w:val="left"/>
            </w:pPr>
            <w:r>
              <w:t xml:space="preserve">6,630,328</w:t>
            </w:r>
          </w:p>
        </w:tc>
        <w:tc>
          <w:tcPr/>
          <w:p>
            <w:pPr>
              <w:pStyle w:val="Compact"/>
              <w:jc w:val="left"/>
            </w:pPr>
            <w:r>
              <w:t xml:space="preserve">Upon completion of structural assessment and propulsion analysis deliverables</w:t>
            </w:r>
          </w:p>
        </w:tc>
      </w:tr>
      <w:tr>
        <w:tc>
          <w:tcPr/>
          <w:p>
            <w:pPr>
              <w:pStyle w:val="Compact"/>
              <w:jc w:val="left"/>
            </w:pPr>
            <w:r>
              <w:t xml:space="preserve">Final Payment</w:t>
            </w:r>
          </w:p>
        </w:tc>
        <w:tc>
          <w:tcPr/>
          <w:p>
            <w:pPr>
              <w:pStyle w:val="Compact"/>
              <w:jc w:val="left"/>
            </w:pPr>
            <w:r>
              <w:t xml:space="preserve">30%</w:t>
            </w:r>
          </w:p>
        </w:tc>
        <w:tc>
          <w:tcPr/>
          <w:p>
            <w:pPr>
              <w:pStyle w:val="Compact"/>
              <w:jc w:val="left"/>
            </w:pPr>
            <w:r>
              <w:t xml:space="preserve">4,972,746</w:t>
            </w:r>
          </w:p>
        </w:tc>
        <w:tc>
          <w:tcPr/>
          <w:p>
            <w:pPr>
              <w:pStyle w:val="Compact"/>
              <w:jc w:val="left"/>
            </w:pPr>
            <w:r>
              <w:t xml:space="preserve">Upon final acceptance of all deliverables, training completion, and KCAA memorandum submission</w:t>
            </w:r>
          </w:p>
        </w:tc>
      </w:tr>
    </w:tbl>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may be subject to revised pricing due to fluctuations in equipment rental costs, exchange rates, or professional fee adjustments within the Kenya Nairobi engineering services market.</w:t>
      </w:r>
    </w:p>
    <w:p>
      <w:pPr>
        <w:numPr>
          <w:ilvl w:val="0"/>
          <w:numId w:val="1002"/>
        </w:numPr>
        <w:pStyle w:val="Compact"/>
      </w:pPr>
      <w:r>
        <w:t xml:space="preserve">The</w:t>
      </w:r>
      <w:r>
        <w:t xml:space="preserve"> </w:t>
      </w:r>
      <w:r>
        <w:t xml:space="preserve">Aerospace Engineer</w:t>
      </w:r>
      <w:r>
        <w:t xml:space="preserve"> </w:t>
      </w:r>
      <w:r>
        <w:t xml:space="preserve">shall maintain professional indemnity insurance with a minimum cover of KES 50,000,000 throughout the duration of the engagement, with certificates of insurance to be provided to the client prior to commencement of work.</w:t>
      </w:r>
    </w:p>
    <w:p>
      <w:pPr>
        <w:numPr>
          <w:ilvl w:val="0"/>
          <w:numId w:val="1002"/>
        </w:numPr>
        <w:pStyle w:val="Compact"/>
      </w:pPr>
      <w:r>
        <w:t xml:space="preserve">All intellectual property, reports, data sets, and technical documentation produced under this engagement shall become the sole property of the client upon full and final payment. The</w:t>
      </w:r>
      <w:r>
        <w:t xml:space="preserve"> </w:t>
      </w:r>
      <w:r>
        <w:t xml:space="preserve">Aerospace Engineer</w:t>
      </w:r>
      <w:r>
        <w:t xml:space="preserve"> </w:t>
      </w:r>
      <w:r>
        <w:t xml:space="preserve">retains the right to reference the project in professional portfolios with prior written consent from the client.</w:t>
      </w:r>
    </w:p>
    <w:p>
      <w:pPr>
        <w:numPr>
          <w:ilvl w:val="0"/>
          <w:numId w:val="1002"/>
        </w:numPr>
        <w:pStyle w:val="Compact"/>
      </w:pPr>
      <w:r>
        <w:t xml:space="preserve">Any variation or change in scope beyond the parameters described in Section 2 of this</w:t>
      </w:r>
      <w:r>
        <w:t xml:space="preserve"> </w:t>
      </w:r>
      <w:r>
        <w:t xml:space="preserve">Quotation Estimate</w:t>
      </w:r>
      <w:r>
        <w:t xml:space="preserve"> </w:t>
      </w:r>
      <w:r>
        <w:t xml:space="preserve">shall be subject to a separate written variation order and additional cost assessment, to be agreed upon by both parties before execution.</w:t>
      </w:r>
    </w:p>
    <w:p>
      <w:pPr>
        <w:numPr>
          <w:ilvl w:val="0"/>
          <w:numId w:val="1002"/>
        </w:numPr>
        <w:pStyle w:val="Compact"/>
      </w:pPr>
      <w:r>
        <w:t xml:space="preserve">Disputes arising from this engagement shall be resolved through mediation in Kenya Nairobi in accordance with the Arbitration Act (Cap 49) of the Laws of Kenya. The courts of Kenya shall have exclusive jurisdiction.</w:t>
      </w:r>
    </w:p>
    <w:p>
      <w:pPr>
        <w:numPr>
          <w:ilvl w:val="0"/>
          <w:numId w:val="1002"/>
        </w:numPr>
        <w:pStyle w:val="Compact"/>
      </w:pPr>
      <w:r>
        <w:t xml:space="preserve">The client shall provide safe working access to all aircraft, hangar facilities, and MRO bays within the Kenya Nairobi operational area. The client assumes responsibility for site safety compliance under the Occupational Safety and Health Act (2007).</w:t>
      </w:r>
    </w:p>
    <w:p>
      <w:pPr>
        <w:numPr>
          <w:ilvl w:val="0"/>
          <w:numId w:val="1002"/>
        </w:numPr>
        <w:pStyle w:val="Compact"/>
      </w:pPr>
      <w:r>
        <w:t xml:space="preserve">Force majeure events, including but not limited to natural disasters, government-imposed aviation ground stops, or public health emergencies affecting operations in Kenya Nairobi, shall suspend contractual obligations for the duration of the event without penalty to either party.</w:t>
      </w:r>
    </w:p>
    <w:p>
      <w:pPr>
        <w:pStyle w:val="FirstParagraph"/>
      </w:pPr>
      <w:r>
        <w:rPr>
          <w:bCs/>
          <w:b/>
        </w:rPr>
        <w:t xml:space="preserve">Note:</w:t>
      </w:r>
      <w:r>
        <w:t xml:space="preserve"> </w:t>
      </w:r>
      <w:r>
        <w:t xml:space="preserve">This Quotation Estimate does not constitute a contract until countersigned by both parties. All services will be governed by a separate Master Service Agreement (MSA) to be executed prior to the commencement of any work. The Aerospace Engineer's professional licence and EBK registration shall be verified by the client's procurement department prior to contract signature.</w:t>
      </w:r>
    </w:p>
    <w:bookmarkEnd w:id="25"/>
    <w:bookmarkStart w:id="28" w:name="acceptance-and-authorization"/>
    <w:p>
      <w:pPr>
        <w:pStyle w:val="Heading2"/>
      </w:pPr>
      <w:r>
        <w:t xml:space="preserve">6. Acceptance and Authorization</w:t>
      </w:r>
    </w:p>
    <w:bookmarkStart w:id="26" w:name="prepared-and-issued-by"/>
    <w:p>
      <w:pPr>
        <w:pStyle w:val="Heading3"/>
      </w:pPr>
      <w:r>
        <w:t xml:space="preserve">Prepared and Issued By</w:t>
      </w:r>
    </w:p>
    <w:p>
      <w:pPr>
        <w:pStyle w:val="FirstParagraph"/>
      </w:pPr>
      <w:r>
        <w:rPr>
          <w:bCs/>
          <w:b/>
        </w:rPr>
        <w:t xml:space="preserve">Kenya Aerospace Engineering Solutions Ltd.</w:t>
      </w:r>
    </w:p>
    <w:p>
      <w:pPr>
        <w:pStyle w:val="BodyText"/>
      </w:pPr>
      <w:r>
        <w:t xml:space="preserve">Name: Eng. David M. Kariuki, P.Eng</w:t>
      </w:r>
    </w:p>
    <w:p>
      <w:pPr>
        <w:pStyle w:val="BodyText"/>
      </w:pPr>
      <w:r>
        <w:t xml:space="preserve">Title: Chief Aerospace Engineer / Director</w:t>
      </w:r>
    </w:p>
    <w:p>
      <w:pPr>
        <w:pStyle w:val="BodyText"/>
      </w:pPr>
      <w:r>
        <w:t xml:space="preserve">EBK Licence: EBK/AE/2013/0442</w:t>
      </w:r>
    </w:p>
    <w:p>
      <w:pPr>
        <w:pStyle w:val="BodyText"/>
      </w:pPr>
      <w:r>
        <w:t xml:space="preserve">Signature &amp; Date</w:t>
      </w:r>
    </w:p>
    <w:bookmarkEnd w:id="26"/>
    <w:bookmarkStart w:id="27" w:name="accepted-and-authorized-by-client"/>
    <w:p>
      <w:pPr>
        <w:pStyle w:val="Heading3"/>
      </w:pPr>
      <w:r>
        <w:t xml:space="preserve">Accepted and Authorized By (Client)</w:t>
      </w:r>
    </w:p>
    <w:p>
      <w:pPr>
        <w:pStyle w:val="FirstParagraph"/>
      </w:pPr>
      <w:r>
        <w:rPr>
          <w:bCs/>
          <w:b/>
        </w:rPr>
        <w:t xml:space="preserve">East African Aviation Authority</w:t>
      </w:r>
    </w:p>
    <w:p>
      <w:pPr>
        <w:pStyle w:val="BodyText"/>
      </w:pPr>
      <w:r>
        <w:t xml:space="preserve">Name: ___________________________</w:t>
      </w:r>
    </w:p>
    <w:p>
      <w:pPr>
        <w:pStyle w:val="BodyText"/>
      </w:pPr>
      <w:r>
        <w:t xml:space="preserve">Title: ___________________________</w:t>
      </w:r>
    </w:p>
    <w:p>
      <w:pPr>
        <w:pStyle w:val="BodyText"/>
      </w:pPr>
      <w:r>
        <w:t xml:space="preserve">Department: ___________________________</w:t>
      </w:r>
    </w:p>
    <w:p>
      <w:pPr>
        <w:pStyle w:val="BodyText"/>
      </w:pPr>
      <w:r>
        <w:t xml:space="preserve">Signature &amp; Date</w:t>
      </w:r>
    </w:p>
    <w:bookmarkEnd w:id="27"/>
    <w:p>
      <w:pPr>
        <w:pStyle w:val="BodyText"/>
      </w:pPr>
      <w:r>
        <w:t xml:space="preserve">Kenya Aerospace Engineering Solutions Ltd. | P.O. Box 4521, Kenya Nairobi | CR No. 118742 | KRA PIN: P051234567X</w:t>
      </w:r>
    </w:p>
    <w:p>
      <w:pPr>
        <w:pStyle w:val="BodyText"/>
      </w:pPr>
      <w:r>
        <w:t xml:space="preserve">This Quotation Estimate was generated on 14 June 2025. For queries, contact quotes@kenya-aero-eng.co.ke or call +254 700 123 456.</w:t>
      </w:r>
    </w:p>
    <w:p>
      <w:pPr>
        <w:pStyle w:val="BodyText"/>
      </w:pPr>
      <w:r>
        <w:t xml:space="preserve">Page 1 of 1 | Document Ref: KAE-2025-QE-00847</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Kenya Nairobi</dc:title>
  <dc:creator/>
  <dc:language>en</dc:language>
  <cp:keywords/>
  <dcterms:created xsi:type="dcterms:W3CDTF">2026-10-10T04:30:02Z</dcterms:created>
  <dcterms:modified xsi:type="dcterms:W3CDTF">2026-10-10T04:30:02Z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