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AeroDynamics Consulting Group, S.A. de C.V.</w:t>
      </w:r>
    </w:p>
    <w:p>
      <w:pPr>
        <w:pStyle w:val="BodyText"/>
      </w:pPr>
      <w:r>
        <w:t xml:space="preserve">Av. Insurgentes Sur 1234, Col. Del Valle, Benito Juárez, 03100 Mexico Mexico City, Mexico</w:t>
      </w:r>
    </w:p>
    <w:p>
      <w:pPr>
        <w:pStyle w:val="BodyText"/>
      </w:pPr>
      <w:r>
        <w:t xml:space="preserve">Tel: +52 (55) 5555-0142 | Email: quotes@aerodynamics-mx.com | RFC: ACG150620XYZ</w:t>
      </w:r>
    </w:p>
    <w:p>
      <w:pPr>
        <w:pStyle w:val="BodyText"/>
      </w:pPr>
      <w:r>
        <w:t xml:space="preserve">Professional Aerospace Engineering Services</w:t>
      </w:r>
    </w:p>
    <w:bookmarkEnd w:id="20"/>
    <w:p>
      <w:pPr>
        <w:pStyle w:val="BodyText"/>
      </w:pPr>
      <w:r>
        <w:rPr>
          <w:bCs/>
          <w:b/>
        </w:rPr>
        <w:t xml:space="preserve">Quotation No.:</w:t>
      </w:r>
      <w:r>
        <w:t xml:space="preserve"> </w:t>
      </w:r>
      <w:r>
        <w:t xml:space="preserve">QTE-2025-MX-0847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Mexico Mexico City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Grupo Aeronáutico del Pacífico, S.A. de C.V.</w:t>
            </w:r>
          </w:p>
        </w:tc>
        <w:tc>
          <w:tcPr/>
          <w:p>
            <w:pPr>
              <w:pStyle w:val="Compact"/>
              <w:jc w:val="left"/>
            </w:pPr>
            <w:r>
              <w:rPr>
                <w:bCs/>
                <w:b/>
              </w:rPr>
              <w:t xml:space="preserve">Contact Person:</w:t>
            </w:r>
            <w:r>
              <w:t xml:space="preserve"> </w:t>
            </w:r>
            <w:r>
              <w:t xml:space="preserve">Ing. Roberto Salazar Mendoza</w:t>
            </w:r>
          </w:p>
        </w:tc>
      </w:tr>
      <w:tr>
        <w:tc>
          <w:tcPr/>
          <w:p>
            <w:pPr>
              <w:pStyle w:val="Compact"/>
              <w:jc w:val="left"/>
            </w:pPr>
            <w:r>
              <w:rPr>
                <w:bCs/>
                <w:b/>
              </w:rPr>
              <w:t xml:space="preserve">Address:</w:t>
            </w:r>
            <w:r>
              <w:t xml:space="preserve"> </w:t>
            </w:r>
            <w:r>
              <w:t xml:space="preserve">Blvd. Manuel Ávila Camacho 456, Col. Lomas de Chapultepec, Miguel Hidalgo, 11000 Mexico Mexico City</w:t>
            </w:r>
          </w:p>
        </w:tc>
        <w:tc>
          <w:tcPr/>
          <w:p>
            <w:pPr>
              <w:pStyle w:val="Compact"/>
              <w:jc w:val="left"/>
            </w:pPr>
            <w:r>
              <w:rPr>
                <w:bCs/>
                <w:b/>
              </w:rPr>
              <w:t xml:space="preserve">Email:</w:t>
            </w:r>
            <w:r>
              <w:t xml:space="preserve"> </w:t>
            </w:r>
            <w:r>
              <w:t xml:space="preserve">r.salazar@grupoaeronauticopacifico.mx</w:t>
            </w:r>
          </w:p>
        </w:tc>
      </w:tr>
      <w:tr>
        <w:tc>
          <w:tcPr/>
          <w:p>
            <w:pPr>
              <w:pStyle w:val="Compact"/>
              <w:jc w:val="left"/>
            </w:pPr>
            <w:r>
              <w:rPr>
                <w:bCs/>
                <w:b/>
              </w:rPr>
              <w:t xml:space="preserve">Phone:</w:t>
            </w:r>
            <w:r>
              <w:t xml:space="preserve"> </w:t>
            </w:r>
            <w:r>
              <w:t xml:space="preserve">+52 (55) 5555-7891</w:t>
            </w:r>
          </w:p>
        </w:tc>
        <w:tc>
          <w:tcPr/>
          <w:p>
            <w:pPr>
              <w:pStyle w:val="Compact"/>
              <w:jc w:val="left"/>
            </w:pPr>
            <w:r>
              <w:rPr>
                <w:bCs/>
                <w:b/>
              </w:rPr>
              <w:t xml:space="preserve">RFC:</w:t>
            </w:r>
            <w:r>
              <w:t xml:space="preserve"> </w:t>
            </w:r>
            <w:r>
              <w:t xml:space="preserve">GAP120315KLM</w:t>
            </w:r>
          </w:p>
        </w:tc>
      </w:tr>
    </w:tbl>
    <w:bookmarkEnd w:id="21"/>
    <w:bookmarkStart w:id="22" w:name="X4e8144f15d10e6e8357315c2fceb788882930fe"/>
    <w:p>
      <w:pPr>
        <w:pStyle w:val="Heading2"/>
      </w:pPr>
      <w:r>
        <w:t xml:space="preserve">2. Scope of Services – Aerospace Engineer Consultancy</w:t>
      </w:r>
    </w:p>
    <w:p>
      <w:pPr>
        <w:pStyle w:val="FirstParagraph"/>
      </w:pPr>
      <w:r>
        <w:t xml:space="preserve">This</w:t>
      </w:r>
      <w:r>
        <w:t xml:space="preserve"> </w:t>
      </w:r>
      <w:r>
        <w:t xml:space="preserve">Quotation Estimate</w:t>
      </w:r>
      <w:r>
        <w:t xml:space="preserve"> </w:t>
      </w:r>
      <w:r>
        <w:t xml:space="preserve">is issued by AeroDynamics Consulting Group, S.A. de C.V., a specialized firm operating in</w:t>
      </w:r>
      <w:r>
        <w:t xml:space="preserve"> </w:t>
      </w:r>
      <w:r>
        <w:t xml:space="preserve">Mexico Mexico City</w:t>
      </w:r>
      <w:r>
        <w:t xml:space="preserve">, to provide comprehensive professional services rendered by a certified</w:t>
      </w:r>
      <w:r>
        <w:t xml:space="preserve"> </w:t>
      </w:r>
      <w:r>
        <w:t xml:space="preserve">Aerospace Engineer</w:t>
      </w:r>
      <w:r>
        <w:t xml:space="preserve">. The scope encompasses the full-cycle engineering support required for the design review, structural analysis, and regulatory compliance of a light commercial aircraft prototype currently under development at the client's facility in the Mexico Mexico City metropolitan area.</w:t>
      </w:r>
    </w:p>
    <w:p>
      <w:pPr>
        <w:pStyle w:val="BodyText"/>
      </w:pPr>
      <w:r>
        <w:t xml:space="preserve">The designated</w:t>
      </w:r>
      <w:r>
        <w:t xml:space="preserve"> </w:t>
      </w:r>
      <w:r>
        <w:t xml:space="preserve">Aerospace Engineer</w:t>
      </w:r>
      <w:r>
        <w:t xml:space="preserve">, Ing. María Fernanda Gutiérrez López (Cédula Profesional No. 2019-45872, registered with the Colegio de Ingenieros Aeronáuticos de México), will lead all technical activities. Her expertise spans aerodynamic modeling, composite material stress analysis, propulsion system integration, and compliance with the regulations established by the Agencia Federal de Aviación Civil (AFAC) of Mexico.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Aerospace Engineer – Preliminary Design Review &amp; Aerodynamic Feasibility Study (wind tunnel data interpretation, CFD simulation oversight)</w:t>
            </w:r>
          </w:p>
        </w:tc>
        <w:tc>
          <w:tcPr/>
          <w:p>
            <w:pPr>
              <w:pStyle w:val="Compact"/>
              <w:jc w:val="left"/>
            </w:pPr>
            <w:r>
              <w:t xml:space="preserve">40 hours</w:t>
            </w:r>
          </w:p>
        </w:tc>
        <w:tc>
          <w:tcPr/>
          <w:p>
            <w:pPr>
              <w:pStyle w:val="Compact"/>
              <w:jc w:val="left"/>
            </w:pPr>
            <w:r>
              <w:t xml:space="preserve">$2,850.00</w:t>
            </w:r>
          </w:p>
        </w:tc>
        <w:tc>
          <w:tcPr/>
          <w:p>
            <w:pPr>
              <w:pStyle w:val="Compact"/>
              <w:jc w:val="left"/>
            </w:pPr>
            <w:r>
              <w:t xml:space="preserve">$114,000.00</w:t>
            </w:r>
          </w:p>
        </w:tc>
      </w:tr>
      <w:tr>
        <w:tc>
          <w:tcPr/>
          <w:p>
            <w:pPr>
              <w:pStyle w:val="Compact"/>
              <w:jc w:val="left"/>
            </w:pPr>
            <w:r>
              <w:t xml:space="preserve">02</w:t>
            </w:r>
          </w:p>
        </w:tc>
        <w:tc>
          <w:tcPr/>
          <w:p>
            <w:pPr>
              <w:pStyle w:val="Compact"/>
              <w:jc w:val="left"/>
            </w:pPr>
            <w:r>
              <w:t xml:space="preserve">Aerospace Engineer – Structural Integrity Analysis of Fuselage &amp; Wing Assembly (FEA modeling, fatigue life assessment, composite layup verification)</w:t>
            </w:r>
          </w:p>
        </w:tc>
        <w:tc>
          <w:tcPr/>
          <w:p>
            <w:pPr>
              <w:pStyle w:val="Compact"/>
              <w:jc w:val="left"/>
            </w:pPr>
            <w:r>
              <w:t xml:space="preserve">60 hours</w:t>
            </w:r>
          </w:p>
        </w:tc>
        <w:tc>
          <w:tcPr/>
          <w:p>
            <w:pPr>
              <w:pStyle w:val="Compact"/>
              <w:jc w:val="left"/>
            </w:pPr>
            <w:r>
              <w:t xml:space="preserve">$2,850.00</w:t>
            </w:r>
          </w:p>
        </w:tc>
        <w:tc>
          <w:tcPr/>
          <w:p>
            <w:pPr>
              <w:pStyle w:val="Compact"/>
              <w:jc w:val="left"/>
            </w:pPr>
            <w:r>
              <w:t xml:space="preserve">$171,000.00</w:t>
            </w:r>
          </w:p>
        </w:tc>
      </w:tr>
      <w:tr>
        <w:tc>
          <w:tcPr/>
          <w:p>
            <w:pPr>
              <w:pStyle w:val="Compact"/>
              <w:jc w:val="left"/>
            </w:pPr>
            <w:r>
              <w:t xml:space="preserve">03</w:t>
            </w:r>
          </w:p>
        </w:tc>
        <w:tc>
          <w:tcPr/>
          <w:p>
            <w:pPr>
              <w:pStyle w:val="Compact"/>
              <w:jc w:val="left"/>
            </w:pPr>
            <w:r>
              <w:t xml:space="preserve">Aerospace Engineer – Propulsion System Integration &amp; Performance Validation (engine mount stress testing, thermal analysis, vibration damping review)</w:t>
            </w:r>
          </w:p>
        </w:tc>
        <w:tc>
          <w:tcPr/>
          <w:p>
            <w:pPr>
              <w:pStyle w:val="Compact"/>
              <w:jc w:val="left"/>
            </w:pPr>
            <w:r>
              <w:t xml:space="preserve">35 hours</w:t>
            </w:r>
          </w:p>
        </w:tc>
        <w:tc>
          <w:tcPr/>
          <w:p>
            <w:pPr>
              <w:pStyle w:val="Compact"/>
              <w:jc w:val="left"/>
            </w:pPr>
            <w:r>
              <w:t xml:space="preserve">$2,850.00</w:t>
            </w:r>
          </w:p>
        </w:tc>
        <w:tc>
          <w:tcPr/>
          <w:p>
            <w:pPr>
              <w:pStyle w:val="Compact"/>
              <w:jc w:val="left"/>
            </w:pPr>
            <w:r>
              <w:t xml:space="preserve">$99,750.00</w:t>
            </w:r>
          </w:p>
        </w:tc>
      </w:tr>
      <w:tr>
        <w:tc>
          <w:tcPr/>
          <w:p>
            <w:pPr>
              <w:pStyle w:val="Compact"/>
              <w:jc w:val="left"/>
            </w:pPr>
            <w:r>
              <w:t xml:space="preserve">04</w:t>
            </w:r>
          </w:p>
        </w:tc>
        <w:tc>
          <w:tcPr/>
          <w:p>
            <w:pPr>
              <w:pStyle w:val="Compact"/>
              <w:jc w:val="left"/>
            </w:pPr>
            <w:r>
              <w:t xml:space="preserve">Aerospace Engineer – AFAC Regulatory Compliance Documentation &amp; Certification Support (Type Certificate application, flight test planning, safety case preparation)</w:t>
            </w:r>
          </w:p>
        </w:tc>
        <w:tc>
          <w:tcPr/>
          <w:p>
            <w:pPr>
              <w:pStyle w:val="Compact"/>
              <w:jc w:val="left"/>
            </w:pPr>
            <w:r>
              <w:t xml:space="preserve">50 hours</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05</w:t>
            </w:r>
          </w:p>
        </w:tc>
        <w:tc>
          <w:tcPr/>
          <w:p>
            <w:pPr>
              <w:pStyle w:val="Compact"/>
              <w:jc w:val="left"/>
            </w:pPr>
            <w:r>
              <w:t xml:space="preserve">On-site Engineering Supervision at Mexico Mexico City Test Facility (weekly visits, 12 weeks)</w:t>
            </w:r>
          </w:p>
        </w:tc>
        <w:tc>
          <w:tcPr/>
          <w:p>
            <w:pPr>
              <w:pStyle w:val="Compact"/>
              <w:jc w:val="left"/>
            </w:pPr>
            <w:r>
              <w:t xml:space="preserve">12 visits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Technical Report Compilation &amp; Final Deliverable Package (bilingual Spanish/English, 200+ pages, including all CAD files and simulation datasets)</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Travel &amp; Accommodation Allowance (within Mexico Mexico City metro area, fuel, parking, per diem)</w:t>
            </w:r>
          </w:p>
        </w:tc>
        <w:tc>
          <w:tcPr/>
          <w:p>
            <w:pPr>
              <w:pStyle w:val="Compact"/>
              <w:jc w:val="left"/>
            </w:pPr>
            <w:r>
              <w:t xml:space="preserve">12 weeks</w:t>
            </w:r>
          </w:p>
        </w:tc>
        <w:tc>
          <w:tcPr/>
          <w:p>
            <w:pPr>
              <w:pStyle w:val="Compact"/>
              <w:jc w:val="left"/>
            </w:pPr>
            <w:r>
              <w:t xml:space="preserve">$3,200.00</w:t>
            </w:r>
          </w:p>
        </w:tc>
        <w:tc>
          <w:tcPr/>
          <w:p>
            <w:pPr>
              <w:pStyle w:val="Compact"/>
              <w:jc w:val="left"/>
            </w:pPr>
            <w:r>
              <w:t xml:space="preserve">$38,400.00</w:t>
            </w:r>
          </w:p>
        </w:tc>
      </w:tr>
      <w:tr>
        <w:tc>
          <w:tcPr>
            <w:gridSpan w:val="4"/>
          </w:tcPr>
          <w:p>
            <w:pPr>
              <w:pStyle w:val="Compact"/>
              <w:jc w:val="left"/>
            </w:pPr>
            <w:r>
              <w:t xml:space="preserve">TOTAL ESTIMATED COST (before IVA)</w:t>
            </w:r>
          </w:p>
        </w:tc>
        <w:tc>
          <w:tcPr/>
          <w:p>
            <w:pPr>
              <w:pStyle w:val="Compact"/>
              <w:jc w:val="left"/>
            </w:pPr>
            <w:r>
              <w:t xml:space="preserve">$730,150.00 MXN</w:t>
            </w:r>
          </w:p>
        </w:tc>
      </w:tr>
      <w:tr>
        <w:tc>
          <w:tcPr>
            <w:gridSpan w:val="4"/>
          </w:tcPr>
          <w:p>
            <w:pPr>
              <w:pStyle w:val="Compact"/>
              <w:jc w:val="left"/>
            </w:pPr>
            <w:r>
              <w:t xml:space="preserve">IVA (16% – Mexican Value Added Tax)</w:t>
            </w:r>
          </w:p>
        </w:tc>
        <w:tc>
          <w:tcPr/>
          <w:p>
            <w:pPr>
              <w:pStyle w:val="Compact"/>
              <w:jc w:val="left"/>
            </w:pPr>
            <w:r>
              <w:t xml:space="preserve">$116,824.00 MXN</w:t>
            </w:r>
          </w:p>
        </w:tc>
      </w:tr>
      <w:tr>
        <w:tc>
          <w:tcPr>
            <w:gridSpan w:val="4"/>
          </w:tcPr>
          <w:p>
            <w:pPr>
              <w:pStyle w:val="Compact"/>
              <w:jc w:val="left"/>
            </w:pPr>
            <w:r>
              <w:t xml:space="preserve">GRAND TOTAL (IVA included)</w:t>
            </w:r>
          </w:p>
        </w:tc>
        <w:tc>
          <w:tcPr/>
          <w:p>
            <w:pPr>
              <w:pStyle w:val="Compact"/>
              <w:jc w:val="left"/>
            </w:pPr>
            <w:r>
              <w:t xml:space="preserve">$846,974.00 MXN</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(MXN, IVA incl.)</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25%</w:t>
            </w:r>
          </w:p>
        </w:tc>
        <w:tc>
          <w:tcPr/>
          <w:p>
            <w:pPr>
              <w:pStyle w:val="Compact"/>
              <w:jc w:val="left"/>
            </w:pPr>
            <w:r>
              <w:t xml:space="preserve">$211,743.50</w:t>
            </w:r>
          </w:p>
        </w:tc>
        <w:tc>
          <w:tcPr/>
          <w:p>
            <w:pPr>
              <w:pStyle w:val="Compact"/>
              <w:jc w:val="left"/>
            </w:pPr>
            <w:r>
              <w:t xml:space="preserve">Upon execution of contract</w:t>
            </w:r>
          </w:p>
        </w:tc>
      </w:tr>
      <w:tr>
        <w:tc>
          <w:tcPr/>
          <w:p>
            <w:pPr>
              <w:pStyle w:val="Compact"/>
              <w:jc w:val="left"/>
            </w:pPr>
            <w:r>
              <w:t xml:space="preserve">Completion of Structural Analysis (Item 02)</w:t>
            </w:r>
          </w:p>
        </w:tc>
        <w:tc>
          <w:tcPr/>
          <w:p>
            <w:pPr>
              <w:pStyle w:val="Compact"/>
              <w:jc w:val="left"/>
            </w:pPr>
            <w:r>
              <w:t xml:space="preserve">30%</w:t>
            </w:r>
          </w:p>
        </w:tc>
        <w:tc>
          <w:tcPr/>
          <w:p>
            <w:pPr>
              <w:pStyle w:val="Compact"/>
              <w:jc w:val="left"/>
            </w:pPr>
            <w:r>
              <w:t xml:space="preserve">$254,092.20</w:t>
            </w:r>
          </w:p>
        </w:tc>
        <w:tc>
          <w:tcPr/>
          <w:p>
            <w:pPr>
              <w:pStyle w:val="Compact"/>
              <w:jc w:val="left"/>
            </w:pPr>
            <w:r>
              <w:t xml:space="preserve">Week 6</w:t>
            </w:r>
          </w:p>
        </w:tc>
      </w:tr>
      <w:tr>
        <w:tc>
          <w:tcPr/>
          <w:p>
            <w:pPr>
              <w:pStyle w:val="Compact"/>
              <w:jc w:val="left"/>
            </w:pPr>
            <w:r>
              <w:t xml:space="preserve">Completion of Propulsion &amp; Compliance Work (Items 03–04)</w:t>
            </w:r>
          </w:p>
        </w:tc>
        <w:tc>
          <w:tcPr/>
          <w:p>
            <w:pPr>
              <w:pStyle w:val="Compact"/>
              <w:jc w:val="left"/>
            </w:pPr>
            <w:r>
              <w:t xml:space="preserve">30%</w:t>
            </w:r>
          </w:p>
        </w:tc>
        <w:tc>
          <w:tcPr/>
          <w:p>
            <w:pPr>
              <w:pStyle w:val="Compact"/>
              <w:jc w:val="left"/>
            </w:pPr>
            <w:r>
              <w:t xml:space="preserve">$254,092.20</w:t>
            </w:r>
          </w:p>
        </w:tc>
        <w:tc>
          <w:tcPr/>
          <w:p>
            <w:pPr>
              <w:pStyle w:val="Compact"/>
              <w:jc w:val="left"/>
            </w:pPr>
            <w:r>
              <w:t xml:space="preserve">Week 10</w:t>
            </w:r>
          </w:p>
        </w:tc>
      </w:tr>
      <w:tr>
        <w:tc>
          <w:tcPr/>
          <w:p>
            <w:pPr>
              <w:pStyle w:val="Compact"/>
              <w:jc w:val="left"/>
            </w:pPr>
            <w:r>
              <w:t xml:space="preserve">Final Deliverable Handover &amp; Acceptance</w:t>
            </w:r>
          </w:p>
        </w:tc>
        <w:tc>
          <w:tcPr/>
          <w:p>
            <w:pPr>
              <w:pStyle w:val="Compact"/>
              <w:jc w:val="left"/>
            </w:pPr>
            <w:r>
              <w:t xml:space="preserve">15%</w:t>
            </w:r>
          </w:p>
        </w:tc>
        <w:tc>
          <w:tcPr/>
          <w:p>
            <w:pPr>
              <w:pStyle w:val="Compact"/>
              <w:jc w:val="left"/>
            </w:pPr>
            <w:r>
              <w:t xml:space="preserve">$127,046.10</w:t>
            </w:r>
          </w:p>
        </w:tc>
        <w:tc>
          <w:tcPr/>
          <w:p>
            <w:pPr>
              <w:pStyle w:val="Compact"/>
              <w:jc w:val="left"/>
            </w:pPr>
            <w:r>
              <w:t xml:space="preserve">Week 13</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 specialized engineering software licenses and testing facility costs in</w:t>
      </w:r>
      <w:r>
        <w:t xml:space="preserve"> </w:t>
      </w:r>
      <w:r>
        <w:t xml:space="preserve">Mexico Mexico City</w:t>
      </w:r>
      <w:r>
        <w:t xml:space="preserve">.</w:t>
      </w:r>
    </w:p>
    <w:p>
      <w:pPr>
        <w:numPr>
          <w:ilvl w:val="0"/>
          <w:numId w:val="1001"/>
        </w:numPr>
        <w:pStyle w:val="Compact"/>
      </w:pPr>
      <w:r>
        <w:t xml:space="preserve">All services will be performed by the designated</w:t>
      </w:r>
      <w:r>
        <w:t xml:space="preserve"> </w:t>
      </w:r>
      <w:r>
        <w:t xml:space="preserve">Aerospace Engineer</w:t>
      </w:r>
      <w:r>
        <w:t xml:space="preserve"> </w:t>
      </w:r>
      <w:r>
        <w:t xml:space="preserve">or, in the event of documented unavailability, by a substitute professional of equivalent or superior qualification, subject to prior written approval by the client.</w:t>
      </w:r>
    </w:p>
    <w:p>
      <w:pPr>
        <w:numPr>
          <w:ilvl w:val="0"/>
          <w:numId w:val="1001"/>
        </w:numPr>
        <w:pStyle w:val="Compact"/>
      </w:pPr>
      <w:r>
        <w:t xml:space="preserve">Payment terms are net fifteen (15) days from the date of invoice issuance. Late payments shall accrue interest at the rate established by the Banco de México for overdue commercial obligations.</w:t>
      </w:r>
    </w:p>
    <w:p>
      <w:pPr>
        <w:numPr>
          <w:ilvl w:val="0"/>
          <w:numId w:val="1001"/>
        </w:numPr>
        <w:pStyle w:val="Compact"/>
      </w:pPr>
      <w:r>
        <w:t xml:space="preserve">The</w:t>
      </w:r>
      <w:r>
        <w:t xml:space="preserve"> </w:t>
      </w:r>
      <w:r>
        <w:t xml:space="preserve">Aerospace Engineer</w:t>
      </w:r>
      <w:r>
        <w:t xml:space="preserve"> </w:t>
      </w:r>
      <w:r>
        <w:t xml:space="preserve">shall maintain professional liability insurance with a minimum coverage of MXN $10,000,000, valid throughout the duration of the engagement in</w:t>
      </w:r>
      <w:r>
        <w:t xml:space="preserve"> </w:t>
      </w:r>
      <w:r>
        <w:t xml:space="preserve">Mexico Mexico City</w:t>
      </w:r>
      <w:r>
        <w:t xml:space="preserve">.</w:t>
      </w:r>
    </w:p>
    <w:p>
      <w:pPr>
        <w:numPr>
          <w:ilvl w:val="0"/>
          <w:numId w:val="1001"/>
        </w:numPr>
        <w:pStyle w:val="Compact"/>
      </w:pPr>
      <w:r>
        <w:t xml:space="preserve">All intellectual property generated specifically for the client under this contract shall be transferred upon full payment. Pre-existing methodologies, software templates, and proprietary analysis tools remain the property of AeroDynamics Consulting Group.</w:t>
      </w:r>
    </w:p>
    <w:p>
      <w:pPr>
        <w:numPr>
          <w:ilvl w:val="0"/>
          <w:numId w:val="1001"/>
        </w:numPr>
        <w:pStyle w:val="Compact"/>
      </w:pPr>
      <w:r>
        <w:t xml:space="preserve">Confidentiality: Both parties agree to maintain strict confidentiality regarding all technical data, design specifications, and business information exchanged during the engagement, in accordance with the Ley Federal de Protección de Datos Personales en Posesión de los Particulares.</w:t>
      </w:r>
    </w:p>
    <w:p>
      <w:pPr>
        <w:numPr>
          <w:ilvl w:val="0"/>
          <w:numId w:val="1001"/>
        </w:numPr>
        <w:pStyle w:val="Compact"/>
      </w:pPr>
      <w:r>
        <w:t xml:space="preserve">Force Majeure: Neither party shall be liable for delays caused by events beyond reasonable control, including but not limited to natural disasters, government-mandated shutdowns, or aviation regulatory suspensions issued by AFAC.</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final contract shall be governed by the commercial laws of the United Mexican States, with jurisdiction in the courts of</w:t>
      </w:r>
      <w:r>
        <w:t xml:space="preserve"> </w:t>
      </w:r>
      <w:r>
        <w:t xml:space="preserve">Mexico Mexico City</w:t>
      </w:r>
      <w:r>
        <w:t xml:space="preserve">.</w:t>
      </w:r>
    </w:p>
    <w:p>
      <w:pPr>
        <w:numPr>
          <w:ilvl w:val="0"/>
          <w:numId w:val="1001"/>
        </w:numPr>
        <w:pStyle w:val="Compact"/>
      </w:pPr>
      <w:r>
        <w:t xml:space="preserve">Any modifications to the scope of work must be documented in a written change order signed by both parties before additional work commences. Adjusted costs will be reflected in a supplementary</w:t>
      </w:r>
      <w:r>
        <w:t xml:space="preserve"> </w:t>
      </w:r>
      <w:r>
        <w:t xml:space="preserve">Quotation Estimate</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Aerospace Engineer</w:t>
      </w:r>
      <w:r>
        <w:t xml:space="preserve"> </w:t>
      </w:r>
      <w:r>
        <w:t xml:space="preserve">services to be delivered in</w:t>
      </w:r>
      <w:r>
        <w:t xml:space="preserve"> </w:t>
      </w:r>
      <w:r>
        <w:t xml:space="preserve">Mexico Mexico City</w:t>
      </w:r>
      <w:r>
        <w:t xml:space="preserve">.</w:t>
      </w:r>
    </w:p>
    <w:p>
      <w:pPr>
        <w:pStyle w:val="BodyText"/>
      </w:pPr>
      <w:r>
        <w:rPr>
          <w:bCs/>
          <w:b/>
        </w:rPr>
        <w:t xml:space="preserve">Ing. María Fernanda Gutiérrez López</w:t>
      </w:r>
      <w:r>
        <w:br/>
      </w:r>
      <w:r>
        <w:t xml:space="preserve">Aerospace Engineer – Lead Consultant</w:t>
      </w:r>
      <w:r>
        <w:br/>
      </w:r>
      <w:r>
        <w:t xml:space="preserve">AeroDynamics Consulting Group, S.A. de C.V.</w:t>
      </w:r>
      <w:r>
        <w:br/>
      </w:r>
      <w:r>
        <w:t xml:space="preserve">Date: _______________</w:t>
      </w:r>
    </w:p>
    <w:p>
      <w:pPr>
        <w:pStyle w:val="BodyText"/>
      </w:pPr>
      <w:r>
        <w:rPr>
          <w:bCs/>
          <w:b/>
        </w:rPr>
        <w:t xml:space="preserve">Ing. Roberto Salazar Mendoza</w:t>
      </w:r>
      <w:r>
        <w:br/>
      </w:r>
      <w:r>
        <w:t xml:space="preserve">Director de Ingeniería</w:t>
      </w:r>
      <w:r>
        <w:br/>
      </w:r>
      <w:r>
        <w:t xml:space="preserve">Grupo Aeronáutico del Pacífico, S.A. de C.V.</w:t>
      </w:r>
      <w:r>
        <w:br/>
      </w:r>
      <w:r>
        <w:t xml:space="preserve">Date: _______________</w:t>
      </w:r>
    </w:p>
    <w:p>
      <w:pPr>
        <w:pStyle w:val="BodyText"/>
      </w:pPr>
      <w:r>
        <w:t xml:space="preserve">AeroDynamics Consulting Group, S.A. de C.V. | Quotation Estimate QTE-2025-MX-0847 | Mexico Mexico City, Mexico</w:t>
      </w:r>
    </w:p>
    <w:p>
      <w:pPr>
        <w:pStyle w:val="BodyText"/>
      </w:pPr>
      <w:r>
        <w:t xml:space="preserve">This document is generated electronically and is valid without a physical seal. For verification, contact quotes@aerodynamics-mx.com.</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Mexico Mexico City</dc:title>
  <dc:creator/>
  <dc:language>en</dc:language>
  <cp:keywords/>
  <dcterms:created xsi:type="dcterms:W3CDTF">2026-10-10T02:52:22Z</dcterms:created>
  <dcterms:modified xsi:type="dcterms:W3CDTF">2026-10-10T02:52:22Z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