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quotation-estimate"/>
    <w:p>
      <w:pPr>
        <w:pStyle w:val="Heading1"/>
      </w:pPr>
      <w:r>
        <w:t xml:space="preserve">Quotation Estimate</w:t>
      </w:r>
    </w:p>
    <w:p>
      <w:pPr>
        <w:pStyle w:val="FirstParagraph"/>
      </w:pPr>
      <w:r>
        <w:t xml:space="preserve">Aerospace Engineering Professional Services</w:t>
      </w:r>
    </w:p>
    <w:p>
      <w:pPr>
        <w:pStyle w:val="BodyText"/>
      </w:pPr>
      <w:r>
        <w:t xml:space="preserve">Prepared for Clients in Netherlands Amsterdam</w:t>
      </w:r>
    </w:p>
    <w:p>
      <w:pPr>
        <w:pStyle w:val="BodyText"/>
      </w:pPr>
      <w:r>
        <w:t xml:space="preserve">Document Reference: QTE-AMS-2025-0472</w:t>
      </w:r>
    </w:p>
    <w:bookmarkEnd w:id="20"/>
    <w:p>
      <w:pPr>
        <w:pStyle w:val="BodyText"/>
      </w:pPr>
      <w:r>
        <w:rPr>
          <w:bCs/>
          <w:b/>
        </w:rPr>
        <w:t xml:space="preserve">Quotation Date: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Currency:</w:t>
      </w:r>
      <w:r>
        <w:t xml:space="preserve"> </w:t>
      </w:r>
      <w:r>
        <w:t xml:space="preserve">EUR (€)</w:t>
      </w:r>
    </w:p>
    <w:p>
      <w:pPr>
        <w:pStyle w:val="BodyText"/>
      </w:pPr>
      <w:r>
        <w:rPr>
          <w:bCs/>
          <w:b/>
        </w:rPr>
        <w:t xml:space="preserve">Page:</w:t>
      </w:r>
      <w:r>
        <w:t xml:space="preserve"> </w:t>
      </w:r>
      <w:r>
        <w:t xml:space="preserve">1 of 1</w:t>
      </w:r>
    </w:p>
    <w:p>
      <w:pPr>
        <w:pStyle w:val="BodyText"/>
      </w:pPr>
      <w:r>
        <w:t xml:space="preserve">1. Parties Involved</w:t>
      </w:r>
    </w:p>
    <w:bookmarkStart w:id="21" w:name="service-provider"/>
    <w:p>
      <w:pPr>
        <w:pStyle w:val="Heading3"/>
      </w:pPr>
      <w:r>
        <w:t xml:space="preserve">Service Provider</w:t>
      </w:r>
    </w:p>
    <w:p>
      <w:pPr>
        <w:pStyle w:val="FirstParagraph"/>
      </w:pPr>
      <w:r>
        <w:rPr>
          <w:bCs/>
          <w:b/>
        </w:rPr>
        <w:t xml:space="preserve">Amsterdam Aerospace Engineering Consultancy B.V.</w:t>
      </w:r>
    </w:p>
    <w:p>
      <w:pPr>
        <w:pStyle w:val="BodyText"/>
      </w:pPr>
      <w:r>
        <w:t xml:space="preserve">Herengracht 420, 1017 CA Amsterdam</w:t>
      </w:r>
    </w:p>
    <w:p>
      <w:pPr>
        <w:pStyle w:val="BodyText"/>
      </w:pPr>
      <w:r>
        <w:t xml:space="preserve">Netherlands</w:t>
      </w:r>
    </w:p>
    <w:p>
      <w:pPr>
        <w:pStyle w:val="BodyText"/>
      </w:pPr>
      <w:r>
        <w:t xml:space="preserve">KvK: 87654321 | VAT: NL861234567B01</w:t>
      </w:r>
    </w:p>
    <w:p>
      <w:pPr>
        <w:pStyle w:val="BodyText"/>
      </w:pPr>
      <w:r>
        <w:t xml:space="preserve">Contact: engineering@amsteroace.nl</w:t>
      </w:r>
    </w:p>
    <w:p>
      <w:pPr>
        <w:pStyle w:val="BodyText"/>
      </w:pPr>
      <w:r>
        <w:t xml:space="preserve">Phone: +31 20 555 0142</w:t>
      </w:r>
    </w:p>
    <w:bookmarkEnd w:id="21"/>
    <w:bookmarkStart w:id="22" w:name="client-recipient"/>
    <w:p>
      <w:pPr>
        <w:pStyle w:val="Heading3"/>
      </w:pPr>
      <w:r>
        <w:t xml:space="preserve">Client / Recipient</w:t>
      </w:r>
    </w:p>
    <w:p>
      <w:pPr>
        <w:pStyle w:val="FirstParagraph"/>
      </w:pPr>
      <w:r>
        <w:rPr>
          <w:bCs/>
          <w:b/>
        </w:rPr>
        <w:t xml:space="preserve">Northwind Aviation Systems N.V.</w:t>
      </w:r>
    </w:p>
    <w:p>
      <w:pPr>
        <w:pStyle w:val="BodyText"/>
      </w:pPr>
      <w:r>
        <w:t xml:space="preserve">Schiphol Boulevard 120, 1101 CN Amsterdam</w:t>
      </w:r>
    </w:p>
    <w:p>
      <w:pPr>
        <w:pStyle w:val="BodyText"/>
      </w:pPr>
      <w:r>
        <w:t xml:space="preserve">Netherlands</w:t>
      </w:r>
    </w:p>
    <w:p>
      <w:pPr>
        <w:pStyle w:val="BodyText"/>
      </w:pPr>
      <w:r>
        <w:t xml:space="preserve">KvK: 91234567</w:t>
      </w:r>
    </w:p>
    <w:p>
      <w:pPr>
        <w:pStyle w:val="BodyText"/>
      </w:pPr>
      <w:r>
        <w:t xml:space="preserve">Contact: procurement@northwindav.nl</w:t>
      </w:r>
    </w:p>
    <w:p>
      <w:pPr>
        <w:pStyle w:val="BodyText"/>
      </w:pPr>
      <w:r>
        <w:t xml:space="preserve">Phone: +31 20 555 0891</w:t>
      </w:r>
    </w:p>
    <w:bookmarkEnd w:id="22"/>
    <w:p>
      <w:pPr>
        <w:pStyle w:val="BodyText"/>
      </w:pPr>
      <w:r>
        <w:t xml:space="preserve">2. Scope of Work – Aerospace Engineer Services</w:t>
      </w:r>
    </w:p>
    <w:p>
      <w:pPr>
        <w:pStyle w:val="BodyText"/>
      </w:pPr>
      <w:r>
        <w:t xml:space="preserve">This</w:t>
      </w:r>
      <w:r>
        <w:t xml:space="preserve"> </w:t>
      </w:r>
      <w:r>
        <w:t xml:space="preserve">Quotation Estimate</w:t>
      </w:r>
      <w:r>
        <w:t xml:space="preserve"> </w:t>
      </w:r>
      <w:r>
        <w:t xml:space="preserve">is issued by Amsterdam Aerospace Engineering Consultancy B.V. to provide comprehensive professional services delivered by a certified</w:t>
      </w:r>
      <w:r>
        <w:t xml:space="preserve"> </w:t>
      </w:r>
      <w:r>
        <w:t xml:space="preserve">Aerospace Engineer</w:t>
      </w:r>
      <w:r>
        <w:t xml:space="preserve"> </w:t>
      </w:r>
      <w:r>
        <w:t xml:space="preserve">operating within the Netherlands Amsterdam metropolitan area. The scope encompasses the following engineering deliverables tailored to the client's aerospace programme requirements:</w:t>
      </w:r>
    </w:p>
    <w:p>
      <w:pPr>
        <w:numPr>
          <w:ilvl w:val="0"/>
          <w:numId w:val="1001"/>
        </w:numPr>
        <w:pStyle w:val="Compact"/>
      </w:pPr>
      <w:r>
        <w:t xml:space="preserve">Structural analysis and finite element modelling (FEM) of composite airframe components, conducted in accordance with EASA CS-25 and NLR certification standards applicable in the Netherlands.</w:t>
      </w:r>
    </w:p>
    <w:p>
      <w:pPr>
        <w:numPr>
          <w:ilvl w:val="0"/>
          <w:numId w:val="1001"/>
        </w:numPr>
        <w:pStyle w:val="Compact"/>
      </w:pPr>
      <w:r>
        <w:t xml:space="preserve">Aerodynamic performance assessment and computational fluid dynamics (CFD) simulation for a next-generation regional aircraft wing section, to be performed at our dedicated facility in Amsterdam-Zuid.</w:t>
      </w:r>
    </w:p>
    <w:p>
      <w:pPr>
        <w:numPr>
          <w:ilvl w:val="0"/>
          <w:numId w:val="1001"/>
        </w:numPr>
        <w:pStyle w:val="Compact"/>
      </w:pPr>
      <w:r>
        <w:t xml:space="preserve">Thermal management system design review for the propulsion bay, including heat flux calculations and material selection recommendations compliant with Dutch and EU aerospace regulations.</w:t>
      </w:r>
    </w:p>
    <w:p>
      <w:pPr>
        <w:numPr>
          <w:ilvl w:val="0"/>
          <w:numId w:val="1001"/>
        </w:numPr>
        <w:pStyle w:val="Compact"/>
      </w:pPr>
      <w:r>
        <w:t xml:space="preserve">Preparation of a detailed engineering feasibility report and risk assessment document for submission to the Dutch Aviation Authority (Luchtvaartautoriteit) as part of the type certification process.</w:t>
      </w:r>
    </w:p>
    <w:p>
      <w:pPr>
        <w:numPr>
          <w:ilvl w:val="0"/>
          <w:numId w:val="1001"/>
        </w:numPr>
        <w:pStyle w:val="Compact"/>
      </w:pPr>
      <w:r>
        <w:t xml:space="preserve">On-site technical consultation and design review meetings at the client's premises in Netherlands Amsterdam, including a minimum of six (6) half-day sessions spread across the project duration.</w:t>
      </w:r>
    </w:p>
    <w:p>
      <w:pPr>
        <w:numPr>
          <w:ilvl w:val="0"/>
          <w:numId w:val="1001"/>
        </w:numPr>
        <w:pStyle w:val="Compact"/>
      </w:pPr>
      <w:r>
        <w:t xml:space="preserve">Integration of the Aerospace Engineer's findings into the client's existing PLM (Product Lifecycle Management) environment and provision of all source data in STEP and CATIA V6 formats.</w:t>
      </w:r>
    </w:p>
    <w:p>
      <w:pPr>
        <w:pStyle w:val="FirstParagraph"/>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Aerospace Engineer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Structural FEM analysis – composite wing spar (Aerospace Engineer, Senior)</w:t>
            </w:r>
          </w:p>
        </w:tc>
        <w:tc>
          <w:tcPr/>
          <w:p>
            <w:pPr>
              <w:pStyle w:val="Compact"/>
              <w:jc w:val="left"/>
            </w:pPr>
            <w:r>
              <w:t xml:space="preserve">120 hours</w:t>
            </w:r>
          </w:p>
        </w:tc>
        <w:tc>
          <w:tcPr/>
          <w:p>
            <w:pPr>
              <w:pStyle w:val="Compact"/>
              <w:jc w:val="left"/>
            </w:pPr>
            <w:r>
              <w:t xml:space="preserve">€145.00</w:t>
            </w:r>
          </w:p>
        </w:tc>
        <w:tc>
          <w:tcPr/>
          <w:p>
            <w:pPr>
              <w:pStyle w:val="Compact"/>
              <w:jc w:val="left"/>
            </w:pPr>
            <w:r>
              <w:t xml:space="preserve">€17,400.00</w:t>
            </w:r>
          </w:p>
        </w:tc>
      </w:tr>
      <w:tr>
        <w:tc>
          <w:tcPr/>
          <w:p>
            <w:pPr>
              <w:pStyle w:val="Compact"/>
              <w:jc w:val="left"/>
            </w:pPr>
            <w:r>
              <w:t xml:space="preserve">02</w:t>
            </w:r>
          </w:p>
        </w:tc>
        <w:tc>
          <w:tcPr/>
          <w:p>
            <w:pPr>
              <w:pStyle w:val="Compact"/>
              <w:jc w:val="left"/>
            </w:pPr>
            <w:r>
              <w:t xml:space="preserve">CFD aerodynamic simulation – wing section (Aerospace Engineer, Senior)</w:t>
            </w:r>
          </w:p>
        </w:tc>
        <w:tc>
          <w:tcPr/>
          <w:p>
            <w:pPr>
              <w:pStyle w:val="Compact"/>
              <w:jc w:val="left"/>
            </w:pPr>
            <w:r>
              <w:t xml:space="preserve">80 hours</w:t>
            </w:r>
          </w:p>
        </w:tc>
        <w:tc>
          <w:tcPr/>
          <w:p>
            <w:pPr>
              <w:pStyle w:val="Compact"/>
              <w:jc w:val="left"/>
            </w:pPr>
            <w:r>
              <w:t xml:space="preserve">€145.00</w:t>
            </w:r>
          </w:p>
        </w:tc>
        <w:tc>
          <w:tcPr/>
          <w:p>
            <w:pPr>
              <w:pStyle w:val="Compact"/>
              <w:jc w:val="left"/>
            </w:pPr>
            <w:r>
              <w:t xml:space="preserve">€11,600.00</w:t>
            </w:r>
          </w:p>
        </w:tc>
      </w:tr>
      <w:tr>
        <w:tc>
          <w:tcPr/>
          <w:p>
            <w:pPr>
              <w:pStyle w:val="Compact"/>
              <w:jc w:val="left"/>
            </w:pPr>
            <w:r>
              <w:t xml:space="preserve">03</w:t>
            </w:r>
          </w:p>
        </w:tc>
        <w:tc>
          <w:tcPr/>
          <w:p>
            <w:pPr>
              <w:pStyle w:val="Compact"/>
              <w:jc w:val="left"/>
            </w:pPr>
            <w:r>
              <w:t xml:space="preserve">Thermal management design review (Aerospace Engineer, Mid-level)</w:t>
            </w:r>
          </w:p>
        </w:tc>
        <w:tc>
          <w:tcPr/>
          <w:p>
            <w:pPr>
              <w:pStyle w:val="Compact"/>
              <w:jc w:val="left"/>
            </w:pPr>
            <w:r>
              <w:t xml:space="preserve">60 hours</w:t>
            </w:r>
          </w:p>
        </w:tc>
        <w:tc>
          <w:tcPr/>
          <w:p>
            <w:pPr>
              <w:pStyle w:val="Compact"/>
              <w:jc w:val="left"/>
            </w:pPr>
            <w:r>
              <w:t xml:space="preserve">€110.00</w:t>
            </w:r>
          </w:p>
        </w:tc>
        <w:tc>
          <w:tcPr/>
          <w:p>
            <w:pPr>
              <w:pStyle w:val="Compact"/>
              <w:jc w:val="left"/>
            </w:pPr>
            <w:r>
              <w:t xml:space="preserve">€6,600.00</w:t>
            </w:r>
          </w:p>
        </w:tc>
      </w:tr>
      <w:tr>
        <w:tc>
          <w:tcPr/>
          <w:p>
            <w:pPr>
              <w:pStyle w:val="Compact"/>
              <w:jc w:val="left"/>
            </w:pPr>
            <w:r>
              <w:t xml:space="preserve">04</w:t>
            </w:r>
          </w:p>
        </w:tc>
        <w:tc>
          <w:tcPr/>
          <w:p>
            <w:pPr>
              <w:pStyle w:val="Compact"/>
              <w:jc w:val="left"/>
            </w:pPr>
            <w:r>
              <w:t xml:space="preserve">Engineering feasibility report &amp; Luchtvaartautoriteit submission package</w:t>
            </w:r>
          </w:p>
        </w:tc>
        <w:tc>
          <w:tcPr/>
          <w:p>
            <w:pPr>
              <w:pStyle w:val="Compact"/>
              <w:jc w:val="left"/>
            </w:pPr>
            <w:r>
              <w:t xml:space="preserve">1 lot</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On-site consultation in Netherlands Amsterdam (half-day sessions)</w:t>
            </w:r>
          </w:p>
        </w:tc>
        <w:tc>
          <w:tcPr/>
          <w:p>
            <w:pPr>
              <w:pStyle w:val="Compact"/>
              <w:jc w:val="left"/>
            </w:pPr>
            <w:r>
              <w:t xml:space="preserve">6 sessions</w:t>
            </w:r>
          </w:p>
        </w:tc>
        <w:tc>
          <w:tcPr/>
          <w:p>
            <w:pPr>
              <w:pStyle w:val="Compact"/>
              <w:jc w:val="left"/>
            </w:pPr>
            <w:r>
              <w:t xml:space="preserve">€950.00</w:t>
            </w:r>
          </w:p>
        </w:tc>
        <w:tc>
          <w:tcPr/>
          <w:p>
            <w:pPr>
              <w:pStyle w:val="Compact"/>
              <w:jc w:val="left"/>
            </w:pPr>
            <w:r>
              <w:t xml:space="preserve">€5,700.00</w:t>
            </w:r>
          </w:p>
        </w:tc>
      </w:tr>
      <w:tr>
        <w:tc>
          <w:tcPr/>
          <w:p>
            <w:pPr>
              <w:pStyle w:val="Compact"/>
              <w:jc w:val="left"/>
            </w:pPr>
            <w:r>
              <w:t xml:space="preserve">06</w:t>
            </w:r>
          </w:p>
        </w:tc>
        <w:tc>
          <w:tcPr/>
          <w:p>
            <w:pPr>
              <w:pStyle w:val="Compact"/>
              <w:jc w:val="left"/>
            </w:pPr>
            <w:r>
              <w:t xml:space="preserve">PLM data integration &amp; deliverable formatting (STEP / CATIA V6)</w:t>
            </w:r>
          </w:p>
        </w:tc>
        <w:tc>
          <w:tcPr/>
          <w:p>
            <w:pPr>
              <w:pStyle w:val="Compact"/>
              <w:jc w:val="left"/>
            </w:pPr>
            <w:r>
              <w:t xml:space="preserve">1 lot</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07</w:t>
            </w:r>
          </w:p>
        </w:tc>
        <w:tc>
          <w:tcPr/>
          <w:p>
            <w:pPr>
              <w:pStyle w:val="Compact"/>
              <w:jc w:val="left"/>
            </w:pPr>
            <w:r>
              <w:t xml:space="preserve">Project management &amp; quality assurance oversight</w:t>
            </w:r>
          </w:p>
        </w:tc>
        <w:tc>
          <w:tcPr/>
          <w:p>
            <w:pPr>
              <w:pStyle w:val="Compact"/>
              <w:jc w:val="left"/>
            </w:pPr>
            <w:r>
              <w:t xml:space="preserve">40 hours</w:t>
            </w:r>
          </w:p>
        </w:tc>
        <w:tc>
          <w:tcPr/>
          <w:p>
            <w:pPr>
              <w:pStyle w:val="Compact"/>
              <w:jc w:val="left"/>
            </w:pPr>
            <w:r>
              <w:t xml:space="preserve">€120.00</w:t>
            </w:r>
          </w:p>
        </w:tc>
        <w:tc>
          <w:tcPr/>
          <w:p>
            <w:pPr>
              <w:pStyle w:val="Compact"/>
              <w:jc w:val="left"/>
            </w:pPr>
            <w:r>
              <w:t xml:space="preserve">€4,800.00</w:t>
            </w:r>
          </w:p>
        </w:tc>
      </w:tr>
      <w:tr>
        <w:tc>
          <w:tcPr>
            <w:gridSpan w:val="4"/>
          </w:tcPr>
          <w:p>
            <w:pPr>
              <w:pStyle w:val="Compact"/>
              <w:jc w:val="left"/>
            </w:pPr>
            <w:r>
              <w:t xml:space="preserve">Subtotal (excl. VAT)</w:t>
            </w:r>
          </w:p>
        </w:tc>
        <w:tc>
          <w:tcPr/>
          <w:p>
            <w:pPr>
              <w:pStyle w:val="Compact"/>
              <w:jc w:val="left"/>
            </w:pPr>
            <w:r>
              <w:t xml:space="preserve">€53,100.00</w:t>
            </w:r>
          </w:p>
        </w:tc>
      </w:tr>
      <w:tr>
        <w:tc>
          <w:tcPr>
            <w:gridSpan w:val="4"/>
          </w:tcPr>
          <w:p>
            <w:pPr>
              <w:pStyle w:val="Compact"/>
              <w:jc w:val="left"/>
            </w:pPr>
            <w:r>
              <w:t xml:space="preserve">VAT (21% – Netherlands)</w:t>
            </w:r>
          </w:p>
        </w:tc>
        <w:tc>
          <w:tcPr/>
          <w:p>
            <w:pPr>
              <w:pStyle w:val="Compact"/>
              <w:jc w:val="left"/>
            </w:pPr>
            <w:r>
              <w:t xml:space="preserve">€11,151.00</w:t>
            </w:r>
          </w:p>
        </w:tc>
      </w:tr>
      <w:tr>
        <w:tc>
          <w:tcPr>
            <w:gridSpan w:val="4"/>
          </w:tcPr>
          <w:p>
            <w:pPr>
              <w:pStyle w:val="Compact"/>
              <w:jc w:val="left"/>
            </w:pPr>
            <w:r>
              <w:rPr>
                <w:bCs/>
                <w:b/>
              </w:rPr>
              <w:t xml:space="preserve">TOTAL AMOUNT DUE (incl. VAT)</w:t>
            </w:r>
          </w:p>
        </w:tc>
        <w:tc>
          <w:tcPr/>
          <w:p>
            <w:pPr>
              <w:pStyle w:val="Compact"/>
              <w:jc w:val="left"/>
            </w:pPr>
            <w:r>
              <w:rPr>
                <w:bCs/>
                <w:b/>
              </w:rPr>
              <w:t xml:space="preserve">€64,251.00</w:t>
            </w:r>
          </w:p>
        </w:tc>
      </w:tr>
    </w:tbl>
    <w:p>
      <w:pPr>
        <w:pStyle w:val="BodyText"/>
      </w:pPr>
      <w:r>
        <w:rPr>
          <w:bCs/>
          <w:b/>
        </w:rPr>
        <w:t xml:space="preserve">Note:</w:t>
      </w:r>
      <w:r>
        <w:t xml:space="preserve"> </w:t>
      </w:r>
      <w:r>
        <w:t xml:space="preserve">All rates quoted in this Quotation Estimate are exclusive of travel expenses beyond the Netherlands Amsterdam city limits. Should the Aerospace Engineer be required to travel to test facilities outside the Amsterdam metropolitan area (e.g., NLR facilities in Prinsentulpenweg, Amsterdam-Noord), additional travel costs will be invoiced at actuals with prior written approval from the client.</w:t>
      </w:r>
    </w:p>
    <w:p>
      <w:pPr>
        <w:pStyle w:val="BodyText"/>
      </w:pPr>
      <w:r>
        <w:t xml:space="preserve">4. Project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Completion</w:t>
            </w:r>
          </w:p>
        </w:tc>
        <w:tc>
          <w:tcPr/>
          <w:p>
            <w:pPr>
              <w:pStyle w:val="Compact"/>
              <w:jc w:val="left"/>
            </w:pPr>
            <w:r>
              <w:t xml:space="preserve">Deliverable</w:t>
            </w:r>
          </w:p>
        </w:tc>
      </w:tr>
      <w:tr>
        <w:tc>
          <w:tcPr/>
          <w:p>
            <w:pPr>
              <w:pStyle w:val="Compact"/>
              <w:jc w:val="left"/>
            </w:pPr>
            <w:r>
              <w:t xml:space="preserve">Project Kick-off &amp; Requirements Sign-off</w:t>
            </w:r>
          </w:p>
        </w:tc>
        <w:tc>
          <w:tcPr/>
          <w:p>
            <w:pPr>
              <w:pStyle w:val="Compact"/>
              <w:jc w:val="left"/>
            </w:pPr>
            <w:r>
              <w:t xml:space="preserve">Week 1 (July 2025)</w:t>
            </w:r>
          </w:p>
        </w:tc>
        <w:tc>
          <w:tcPr/>
          <w:p>
            <w:pPr>
              <w:pStyle w:val="Compact"/>
              <w:jc w:val="left"/>
            </w:pPr>
            <w:r>
              <w:t xml:space="preserve">Approved Statement of Work</w:t>
            </w:r>
          </w:p>
        </w:tc>
      </w:tr>
      <w:tr>
        <w:tc>
          <w:tcPr/>
          <w:p>
            <w:pPr>
              <w:pStyle w:val="Compact"/>
              <w:jc w:val="left"/>
            </w:pPr>
            <w:r>
              <w:t xml:space="preserve">FEM &amp; CFD Analysis Complete</w:t>
            </w:r>
          </w:p>
        </w:tc>
        <w:tc>
          <w:tcPr/>
          <w:p>
            <w:pPr>
              <w:pStyle w:val="Compact"/>
              <w:jc w:val="left"/>
            </w:pPr>
            <w:r>
              <w:t xml:space="preserve">Week 8 (August 2025)</w:t>
            </w:r>
          </w:p>
        </w:tc>
        <w:tc>
          <w:tcPr/>
          <w:p>
            <w:pPr>
              <w:pStyle w:val="Compact"/>
              <w:jc w:val="left"/>
            </w:pPr>
            <w:r>
              <w:t xml:space="preserve">Technical Analysis Report</w:t>
            </w:r>
          </w:p>
        </w:tc>
      </w:tr>
      <w:tr>
        <w:tc>
          <w:tcPr/>
          <w:p>
            <w:pPr>
              <w:pStyle w:val="Compact"/>
              <w:jc w:val="left"/>
            </w:pPr>
            <w:r>
              <w:t xml:space="preserve">Thermal Review &amp; Feasibility Report</w:t>
            </w:r>
          </w:p>
        </w:tc>
        <w:tc>
          <w:tcPr/>
          <w:p>
            <w:pPr>
              <w:pStyle w:val="Compact"/>
              <w:jc w:val="left"/>
            </w:pPr>
            <w:r>
              <w:t xml:space="preserve">Week 12 (September 2025)</w:t>
            </w:r>
          </w:p>
        </w:tc>
        <w:tc>
          <w:tcPr/>
          <w:p>
            <w:pPr>
              <w:pStyle w:val="Compact"/>
              <w:jc w:val="left"/>
            </w:pPr>
            <w:r>
              <w:t xml:space="preserve">Feasibility &amp; Risk Document</w:t>
            </w:r>
          </w:p>
        </w:tc>
      </w:tr>
      <w:tr>
        <w:tc>
          <w:tcPr/>
          <w:p>
            <w:pPr>
              <w:pStyle w:val="Compact"/>
              <w:jc w:val="left"/>
            </w:pPr>
            <w:r>
              <w:t xml:space="preserve">Final PLM Integration &amp; Handover</w:t>
            </w:r>
          </w:p>
        </w:tc>
        <w:tc>
          <w:tcPr/>
          <w:p>
            <w:pPr>
              <w:pStyle w:val="Compact"/>
              <w:jc w:val="left"/>
            </w:pPr>
            <w:r>
              <w:t xml:space="preserve">Week 14 (October 2025)</w:t>
            </w:r>
          </w:p>
        </w:tc>
        <w:tc>
          <w:tcPr/>
          <w:p>
            <w:pPr>
              <w:pStyle w:val="Compact"/>
              <w:jc w:val="left"/>
            </w:pPr>
            <w:r>
              <w:t xml:space="preserve">Complete Data Package</w:t>
            </w:r>
          </w:p>
        </w:tc>
      </w:tr>
    </w:tbl>
    <w:p>
      <w:pPr>
        <w:pStyle w:val="BodyText"/>
      </w:pPr>
      <w:r>
        <w:t xml:space="preserve">5. Terms and Conditions</w:t>
      </w:r>
    </w:p>
    <w:p>
      <w:pPr>
        <w:numPr>
          <w:ilvl w:val="0"/>
          <w:numId w:val="1002"/>
        </w:numPr>
        <w:pStyle w:val="Compact"/>
      </w:pPr>
      <w:r>
        <w:t xml:space="preserve">This Quotation Estimate is valid for a period of ninety (90) calendar days from the date of issue. After the expiry date, all rates and availability of the Aerospace Engineer team are subject to revision.</w:t>
      </w:r>
    </w:p>
    <w:p>
      <w:pPr>
        <w:numPr>
          <w:ilvl w:val="0"/>
          <w:numId w:val="1002"/>
        </w:numPr>
        <w:pStyle w:val="Compact"/>
      </w:pPr>
      <w:r>
        <w:t xml:space="preserve">Payment terms: 30% advance payment upon acceptance of this Quotation Estimate, 40% upon delivery of the Technical Analysis Report (Milestone 2), and 30% upon final handover. All invoices are payable within thirty (30) days of receipt in accordance with Dutch commercial law (Burgerlijk Wetboek, Boek 6).</w:t>
      </w:r>
    </w:p>
    <w:p>
      <w:pPr>
        <w:numPr>
          <w:ilvl w:val="0"/>
          <w:numId w:val="1002"/>
        </w:numPr>
        <w:pStyle w:val="Compact"/>
      </w:pPr>
      <w:r>
        <w:t xml:space="preserve">All work performed by the Aerospace Engineer shall comply with applicable EASA regulations, Dutch Aviation Act (Luchtvaartwet), and ISO 9001:2015 quality management standards as registered in the Netherlands.</w:t>
      </w:r>
    </w:p>
    <w:p>
      <w:pPr>
        <w:numPr>
          <w:ilvl w:val="0"/>
          <w:numId w:val="1002"/>
        </w:numPr>
        <w:pStyle w:val="Compact"/>
      </w:pPr>
      <w:r>
        <w:t xml:space="preserve">Intellectual property generated specifically for the client under this engagement shall transfer to the client upon full payment. Pre-existing methodologies, software licences, and proprietary tools of the Aerospace Engineer remain the property of Amsterdam Aerospace Engineering Consultancy B.V.</w:t>
      </w:r>
    </w:p>
    <w:p>
      <w:pPr>
        <w:numPr>
          <w:ilvl w:val="0"/>
          <w:numId w:val="1002"/>
        </w:numPr>
        <w:pStyle w:val="Compact"/>
      </w:pPr>
      <w:r>
        <w:t xml:space="preserve">Confidentiality: Both parties agree to maintain strict confidentiality of all technical data, design information, and commercial terms exchanged in connection with this Quotation Estimate, in line with the Dutch Data Protection Act (UAVG) and GDPR.</w:t>
      </w:r>
    </w:p>
    <w:p>
      <w:pPr>
        <w:numPr>
          <w:ilvl w:val="0"/>
          <w:numId w:val="1002"/>
        </w:numPr>
        <w:pStyle w:val="Compact"/>
      </w:pPr>
      <w:r>
        <w:t xml:space="preserve">Force majeure: Neither party shall be liable for delays caused by events beyond reasonable control, including but not limited to natural disasters, government-imposed restrictions, or supply chain disruptions affecting aerospace component availability in the Netherlands.</w:t>
      </w:r>
    </w:p>
    <w:p>
      <w:pPr>
        <w:numPr>
          <w:ilvl w:val="0"/>
          <w:numId w:val="1002"/>
        </w:numPr>
        <w:pStyle w:val="Compact"/>
      </w:pPr>
      <w:r>
        <w:t xml:space="preserve">Disputes arising from this Quotation Estimate shall be resolved through the competent courts of Amsterdam, Netherlands, in accordance with Dutch law.</w:t>
      </w:r>
    </w:p>
    <w:p>
      <w:pPr>
        <w:numPr>
          <w:ilvl w:val="0"/>
          <w:numId w:val="1002"/>
        </w:numPr>
        <w:pStyle w:val="Compact"/>
      </w:pPr>
      <w:r>
        <w:t xml:space="preserve">This Quotation Estimate does not constitute a binding contract until formally accepted in writing by both parties via signed purchase order or contract addendum.</w:t>
      </w:r>
    </w:p>
    <w:p>
      <w:pPr>
        <w:pStyle w:val="FirstParagraph"/>
      </w:pPr>
      <w:r>
        <w:t xml:space="preserve">6. Acceptance and Signatures</w:t>
      </w:r>
    </w:p>
    <w:p>
      <w:pPr>
        <w:pStyle w:val="BodyText"/>
      </w:pPr>
      <w:r>
        <w:t xml:space="preserve">By signing below, both parties acknowledge and agree to the terms, scope, and pricing outlined in this Quotation Estimate for Aerospace Engineer services to be delivered in Netherlands Amsterdam.</w:t>
      </w:r>
    </w:p>
    <w:p>
      <w:pPr>
        <w:pStyle w:val="BodyText"/>
      </w:pPr>
      <w:r>
        <w:rPr>
          <w:bCs/>
          <w:b/>
        </w:rPr>
        <w:t xml:space="preserve">For Amsterdam Aerospace Engineering Consultancy B.V.</w:t>
      </w:r>
    </w:p>
    <w:p>
      <w:pPr>
        <w:pStyle w:val="BodyText"/>
      </w:pPr>
      <w:r>
        <w:t xml:space="preserve">Name: Dr. J. van der Berg</w:t>
      </w:r>
      <w:r>
        <w:br/>
      </w:r>
      <w:r>
        <w:t xml:space="preserve">Title: Lead Aerospace Engineer / Director</w:t>
      </w:r>
      <w:r>
        <w:br/>
      </w:r>
      <w:r>
        <w:t xml:space="preserve">Date: _______________</w:t>
      </w:r>
    </w:p>
    <w:p>
      <w:pPr>
        <w:pStyle w:val="BodyText"/>
      </w:pPr>
      <w:r>
        <w:rPr>
          <w:bCs/>
          <w:b/>
        </w:rPr>
        <w:t xml:space="preserve">For Northwind Aviation Systems N.V.</w:t>
      </w:r>
    </w:p>
    <w:p>
      <w:pPr>
        <w:pStyle w:val="BodyText"/>
      </w:pPr>
      <w:r>
        <w:t xml:space="preserve">Name: _________________________</w:t>
      </w:r>
      <w:r>
        <w:br/>
      </w:r>
      <w:r>
        <w:t xml:space="preserve">Title: _________________________</w:t>
      </w:r>
      <w:r>
        <w:br/>
      </w:r>
      <w:r>
        <w:t xml:space="preserve">Date: _______________</w:t>
      </w:r>
    </w:p>
    <w:p>
      <w:pPr>
        <w:pStyle w:val="BodyText"/>
      </w:pPr>
      <w:r>
        <w:t xml:space="preserve">Amsterdam Aerospace Engineering Consultancy B.V. | Herengracht 420, 1017 CA Amsterdam, Netherlands</w:t>
      </w:r>
    </w:p>
    <w:p>
      <w:pPr>
        <w:pStyle w:val="BodyText"/>
      </w:pPr>
      <w:r>
        <w:t xml:space="preserve">KvK 87654321 | VAT NL861234567B01 | This Quotation Estimate was generated on 15 June 2025</w:t>
      </w:r>
    </w:p>
    <w:p>
      <w:pPr>
        <w:pStyle w:val="BodyText"/>
      </w:pPr>
      <w:r>
        <w:t xml:space="preserve">Document QTE-AMS-2025-0472 | Aerospace Engineer Services | Netherlands Amsterdam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Aerospace Engineer Services - Netherlands Amsterdam</dc:title>
  <dc:creator/>
  <dc:language>en</dc:language>
  <cp:keywords/>
  <dcterms:created xsi:type="dcterms:W3CDTF">2026-10-10T04:30:08Z</dcterms:created>
  <dcterms:modified xsi:type="dcterms:W3CDTF">2026-10-10T04:30:08Z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