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Aerospace Engineering Services — Saudi Arabia Riyadh</w:t>
      </w:r>
    </w:p>
    <w:bookmarkEnd w:id="20"/>
    <w:bookmarkStart w:id="21" w:name="service-provider"/>
    <w:p>
      <w:pPr>
        <w:pStyle w:val="Heading3"/>
      </w:pPr>
      <w:r>
        <w:t xml:space="preserve">Service Provider</w:t>
      </w:r>
    </w:p>
    <w:p>
      <w:pPr>
        <w:pStyle w:val="FirstParagraph"/>
      </w:pPr>
      <w:r>
        <w:rPr>
          <w:bCs/>
          <w:b/>
        </w:rPr>
        <w:t xml:space="preserve">Al-Riyadh Aerospace Engineering Consultants LLC</w:t>
      </w:r>
    </w:p>
    <w:p>
      <w:pPr>
        <w:pStyle w:val="BodyText"/>
      </w:pPr>
      <w:r>
        <w:t xml:space="preserve">Kingdom Tower, 14th Floor</w:t>
      </w:r>
    </w:p>
    <w:p>
      <w:pPr>
        <w:pStyle w:val="BodyText"/>
      </w:pPr>
      <w:r>
        <w:t xml:space="preserve">Olaya Street, Al Olaya District</w:t>
      </w:r>
    </w:p>
    <w:p>
      <w:pPr>
        <w:pStyle w:val="BodyText"/>
      </w:pPr>
      <w:r>
        <w:t xml:space="preserve">Riyadh 12212, Saudi Arabia</w:t>
      </w:r>
    </w:p>
    <w:p>
      <w:pPr>
        <w:pStyle w:val="BodyText"/>
      </w:pPr>
      <w:r>
        <w:t xml:space="preserve">CR No: 1010456789</w:t>
      </w:r>
    </w:p>
    <w:p>
      <w:pPr>
        <w:pStyle w:val="BodyText"/>
      </w:pPr>
      <w:r>
        <w:t xml:space="preserve">VAT No: 310123456700003</w:t>
      </w:r>
    </w:p>
    <w:p>
      <w:pPr>
        <w:pStyle w:val="BodyText"/>
      </w:pPr>
      <w:r>
        <w:t xml:space="preserve">Phone: +966 11 456 7890</w:t>
      </w:r>
    </w:p>
    <w:p>
      <w:pPr>
        <w:pStyle w:val="BodyText"/>
      </w:pPr>
      <w:r>
        <w:t xml:space="preserve">Email: quotes@alriyadh-aero.sa</w:t>
      </w:r>
    </w:p>
    <w:bookmarkEnd w:id="21"/>
    <w:bookmarkStart w:id="22" w:name="client-recipient"/>
    <w:p>
      <w:pPr>
        <w:pStyle w:val="Heading3"/>
      </w:pPr>
      <w:r>
        <w:t xml:space="preserve">Client / Recipient</w:t>
      </w:r>
    </w:p>
    <w:p>
      <w:pPr>
        <w:pStyle w:val="FirstParagraph"/>
      </w:pPr>
      <w:r>
        <w:rPr>
          <w:bCs/>
          <w:b/>
        </w:rPr>
        <w:t xml:space="preserve">Saudi Space Agency (SSA)</w:t>
      </w:r>
    </w:p>
    <w:p>
      <w:pPr>
        <w:pStyle w:val="BodyText"/>
      </w:pPr>
      <w:r>
        <w:t xml:space="preserve">Kingdom Tower, 12th Floor</w:t>
      </w:r>
    </w:p>
    <w:p>
      <w:pPr>
        <w:pStyle w:val="BodyText"/>
      </w:pPr>
      <w:r>
        <w:t xml:space="preserve">Olaya Street, Al Olaya District</w:t>
      </w:r>
    </w:p>
    <w:p>
      <w:pPr>
        <w:pStyle w:val="BodyText"/>
      </w:pPr>
      <w:r>
        <w:t xml:space="preserve">Riyadh 12212, Saudi Arabia</w:t>
      </w:r>
    </w:p>
    <w:p>
      <w:pPr>
        <w:pStyle w:val="BodyText"/>
      </w:pPr>
      <w:r>
        <w:t xml:space="preserve">Attn: Dr. Khalid Al-Fahad, Director of Engineering</w:t>
      </w:r>
    </w:p>
    <w:p>
      <w:pPr>
        <w:pStyle w:val="BodyText"/>
      </w:pPr>
      <w:r>
        <w:t xml:space="preserve">Phone: +966 11 234 5678</w:t>
      </w:r>
    </w:p>
    <w:p>
      <w:pPr>
        <w:pStyle w:val="BodyText"/>
      </w:pPr>
      <w:r>
        <w:t xml:space="preserve">Email: engineering@ssa.gov.sa</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QTE-2025-RAE-0472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 (14 August 2025)</w:t>
            </w:r>
          </w:p>
        </w:tc>
      </w:tr>
      <w:tr>
        <w:tc>
          <w:tcPr/>
          <w:p>
            <w:pPr>
              <w:pStyle w:val="Compact"/>
              <w:jc w:val="left"/>
            </w:pPr>
            <w:r>
              <w:t xml:space="preserve">Project Reference:</w:t>
            </w:r>
          </w:p>
        </w:tc>
        <w:tc>
          <w:tcPr/>
          <w:p>
            <w:pPr>
              <w:pStyle w:val="Compact"/>
              <w:jc w:val="left"/>
            </w:pPr>
            <w:r>
              <w:t xml:space="preserve">SSA-2025-PROP-019 — Propulsion System Design Review</w:t>
            </w:r>
          </w:p>
        </w:tc>
      </w:tr>
      <w:tr>
        <w:tc>
          <w:tcPr/>
          <w:p>
            <w:pPr>
              <w:pStyle w:val="Compact"/>
              <w:jc w:val="left"/>
            </w:pPr>
            <w:r>
              <w:t xml:space="preserve">Location of Services:</w:t>
            </w:r>
          </w:p>
        </w:tc>
        <w:tc>
          <w:tcPr/>
          <w:p>
            <w:pPr>
              <w:pStyle w:val="Compact"/>
              <w:jc w:val="left"/>
            </w:pPr>
            <w:r>
              <w:t xml:space="preserve">Riyadh, Saudi Arabia</w:t>
            </w:r>
          </w:p>
        </w:tc>
      </w:tr>
      <w:tr>
        <w:tc>
          <w:tcPr/>
          <w:p>
            <w:pPr>
              <w:pStyle w:val="Compact"/>
              <w:jc w:val="left"/>
            </w:pPr>
            <w:r>
              <w:t xml:space="preserve">Currency:</w:t>
            </w:r>
          </w:p>
        </w:tc>
        <w:tc>
          <w:tcPr/>
          <w:p>
            <w:pPr>
              <w:pStyle w:val="Compact"/>
              <w:jc w:val="left"/>
            </w:pPr>
            <w:r>
              <w:t xml:space="preserve">Saudi Riyal (SAR)</w:t>
            </w:r>
          </w:p>
        </w:tc>
      </w:tr>
    </w:tbl>
    <w:bookmarkStart w:id="23"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Al-Riyadh Aerospace Engineering Consultants LLC to provide a comprehensive and itemized financial breakdown for the engagement of a senior</w:t>
      </w:r>
      <w:r>
        <w:t xml:space="preserve"> </w:t>
      </w:r>
      <w:r>
        <w:t xml:space="preserve">Aerospace Engineer</w:t>
      </w:r>
      <w:r>
        <w:t xml:space="preserve"> </w:t>
      </w:r>
      <w:r>
        <w:t xml:space="preserve">to deliver specialized consulting, design review, and technical oversight services in support of the Saudi Space Agency's ongoing propulsion system development programme. All services described herein shall be performed within the jurisdiction of</w:t>
      </w:r>
      <w:r>
        <w:t xml:space="preserve"> </w:t>
      </w:r>
      <w:r>
        <w:t xml:space="preserve">Saudi Arabia Riyadh</w:t>
      </w:r>
      <w:r>
        <w:t xml:space="preserve">, in full compliance with the regulations set forth by the Saudi Arabian Standards Organization (SASO), the Saudi Space Agency governance framework, and the Vision 2030 national strategic objectives for advanced aerospace capability development.</w:t>
      </w:r>
    </w:p>
    <w:p>
      <w:pPr>
        <w:pStyle w:val="BodyText"/>
      </w:pPr>
      <w:r>
        <w:t xml:space="preserve">This</w:t>
      </w:r>
      <w:r>
        <w:t xml:space="preserve"> </w:t>
      </w:r>
      <w:r>
        <w:t xml:space="preserve">Quotation Estimate</w:t>
      </w:r>
      <w:r>
        <w:t xml:space="preserve"> </w:t>
      </w:r>
      <w:r>
        <w:t xml:space="preserve">reflects the current market rates for qualified</w:t>
      </w:r>
      <w:r>
        <w:t xml:space="preserve"> </w:t>
      </w:r>
      <w:r>
        <w:t xml:space="preserve">Aerospace Engineer</w:t>
      </w:r>
      <w:r>
        <w:t xml:space="preserve"> </w:t>
      </w:r>
      <w:r>
        <w:t xml:space="preserve">professionals operating in the</w:t>
      </w:r>
      <w:r>
        <w:t xml:space="preserve"> </w:t>
      </w:r>
      <w:r>
        <w:t xml:space="preserve">Saudi Arabia Riyadh</w:t>
      </w:r>
      <w:r>
        <w:t xml:space="preserve"> </w:t>
      </w:r>
      <w:r>
        <w:t xml:space="preserve">region, taking into account the specialized nature of the work, the required security clearances, and the on-site presence mandated by the client.</w:t>
      </w:r>
    </w:p>
    <w:bookmarkEnd w:id="23"/>
    <w:bookmarkStart w:id="24" w:name="X2a1fe246806ffa3e8640531b64daed651571928"/>
    <w:p>
      <w:pPr>
        <w:pStyle w:val="Heading2"/>
      </w:pPr>
      <w:r>
        <w:t xml:space="preserve">2. Scope of Work — Aerospace Engineer Services</w:t>
      </w:r>
    </w:p>
    <w:p>
      <w:pPr>
        <w:pStyle w:val="FirstParagraph"/>
      </w:pPr>
      <w:r>
        <w:t xml:space="preserve">The</w:t>
      </w:r>
      <w:r>
        <w:t xml:space="preserve"> </w:t>
      </w:r>
      <w:r>
        <w:t xml:space="preserve">Aerospace Engineer</w:t>
      </w:r>
      <w:r>
        <w:t xml:space="preserve"> </w:t>
      </w:r>
      <w:r>
        <w:t xml:space="preserve">engaged under this</w:t>
      </w:r>
      <w:r>
        <w:t xml:space="preserve"> </w:t>
      </w:r>
      <w:r>
        <w:t xml:space="preserve">Quotation Estimate</w:t>
      </w:r>
      <w:r>
        <w:t xml:space="preserve"> </w:t>
      </w:r>
      <w:r>
        <w:t xml:space="preserve">shall perform the following duties and deliverables within</w:t>
      </w:r>
      <w:r>
        <w:t xml:space="preserve"> </w:t>
      </w:r>
      <w:r>
        <w:t xml:space="preserve">Saudi Arabia Riyadh</w:t>
      </w:r>
      <w:r>
        <w:t xml:space="preserve">:</w:t>
      </w:r>
    </w:p>
    <w:p>
      <w:pPr>
        <w:numPr>
          <w:ilvl w:val="0"/>
          <w:numId w:val="1001"/>
        </w:numPr>
        <w:pStyle w:val="Compact"/>
      </w:pPr>
      <w:r>
        <w:rPr>
          <w:bCs/>
          <w:b/>
        </w:rPr>
        <w:t xml:space="preserve">Propulsion System Design Review:</w:t>
      </w:r>
      <w:r>
        <w:t xml:space="preserve"> </w:t>
      </w:r>
      <w:r>
        <w:t xml:space="preserve">Conduct a full technical audit of the existing liquid-fuel rocket engine design, including thermodynamic cycle analysis, nozzle geometry validation, and turbopump performance verification. All findings shall be documented in a formal engineering report delivered to the client's Riyadh headquarters.</w:t>
      </w:r>
    </w:p>
    <w:p>
      <w:pPr>
        <w:numPr>
          <w:ilvl w:val="0"/>
          <w:numId w:val="1001"/>
        </w:numPr>
        <w:pStyle w:val="Compact"/>
      </w:pPr>
      <w:r>
        <w:rPr>
          <w:bCs/>
          <w:b/>
        </w:rPr>
        <w:t xml:space="preserve">Structural Integrity Assessment:</w:t>
      </w:r>
      <w:r>
        <w:t xml:space="preserve"> </w:t>
      </w:r>
      <w:r>
        <w:t xml:space="preserve">Perform finite element analysis (FEA) and fatigue life calculations on the engine housing and mounting structures, ensuring compliance with IEC 61508 functional safety standards as adopted in Saudi Arabia.</w:t>
      </w:r>
    </w:p>
    <w:p>
      <w:pPr>
        <w:numPr>
          <w:ilvl w:val="0"/>
          <w:numId w:val="1001"/>
        </w:numPr>
        <w:pStyle w:val="Compact"/>
      </w:pPr>
      <w:r>
        <w:rPr>
          <w:bCs/>
          <w:b/>
        </w:rPr>
        <w:t xml:space="preserve">Thermal Management Consulting:</w:t>
      </w:r>
      <w:r>
        <w:t xml:space="preserve"> </w:t>
      </w:r>
      <w:r>
        <w:t xml:space="preserve">Advise on cryogenic fuel storage and transfer systems, providing a detailed thermal analysis report and recommending material upgrades suitable for the high-ambient-temperature conditions prevalent in Riyadh, Saudi Arabia.</w:t>
      </w:r>
    </w:p>
    <w:p>
      <w:pPr>
        <w:numPr>
          <w:ilvl w:val="0"/>
          <w:numId w:val="1001"/>
        </w:numPr>
        <w:pStyle w:val="Compact"/>
      </w:pPr>
      <w:r>
        <w:rPr>
          <w:bCs/>
          <w:b/>
        </w:rPr>
        <w:t xml:space="preserve">Regulatory Compliance Review:</w:t>
      </w:r>
      <w:r>
        <w:t xml:space="preserve"> </w:t>
      </w:r>
      <w:r>
        <w:t xml:space="preserve">Ensure all design modifications align with the Saudi Space Agency's internal engineering standards and the broader regulatory environment of Saudi Arabia, including environmental impact assessments required for test operations.</w:t>
      </w:r>
    </w:p>
    <w:p>
      <w:pPr>
        <w:numPr>
          <w:ilvl w:val="0"/>
          <w:numId w:val="1001"/>
        </w:numPr>
        <w:pStyle w:val="Compact"/>
      </w:pPr>
      <w:r>
        <w:rPr>
          <w:bCs/>
          <w:b/>
        </w:rPr>
        <w:t xml:space="preserve">Team Mentorship and Knowledge Transfer:</w:t>
      </w:r>
      <w:r>
        <w:t xml:space="preserve"> </w:t>
      </w:r>
      <w:r>
        <w:t xml:space="preserve">Deliver a minimum of 40 hours of structured training to the in-house Saudi engineering team, covering advanced CFD modelling, propulsion system integration, and failure-mode analysis methodologies.</w:t>
      </w:r>
    </w:p>
    <w:p>
      <w:pPr>
        <w:numPr>
          <w:ilvl w:val="0"/>
          <w:numId w:val="1001"/>
        </w:numPr>
        <w:pStyle w:val="Compact"/>
      </w:pPr>
      <w:r>
        <w:rPr>
          <w:bCs/>
          <w:b/>
        </w:rPr>
        <w:t xml:space="preserve">On-Site Technical Support:</w:t>
      </w:r>
      <w:r>
        <w:t xml:space="preserve"> </w:t>
      </w:r>
      <w:r>
        <w:t xml:space="preserve">Maintain a minimum of 3 days per week on-site presence at the client's facility in Riyadh, Saudi Arabia, for the duration of the engagement, providing real-time engineering guidance during critical design milestones.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(SAR)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Senior Aerospace Engineer — Propulsion Design Review &amp; FEA Analysis</w:t>
            </w:r>
          </w:p>
        </w:tc>
        <w:tc>
          <w:tcPr/>
          <w:p>
            <w:pPr>
              <w:pStyle w:val="Compact"/>
              <w:jc w:val="left"/>
            </w:pPr>
            <w:r>
              <w:t xml:space="preserve">6 weeks</w:t>
            </w:r>
          </w:p>
        </w:tc>
        <w:tc>
          <w:tcPr/>
          <w:p>
            <w:pPr>
              <w:pStyle w:val="Compact"/>
              <w:jc w:val="left"/>
            </w:pPr>
            <w:r>
              <w:t xml:space="preserve">28,500 / week</w:t>
            </w:r>
          </w:p>
        </w:tc>
        <w:tc>
          <w:tcPr/>
          <w:p>
            <w:pPr>
              <w:pStyle w:val="Compact"/>
              <w:jc w:val="left"/>
            </w:pPr>
            <w:r>
              <w:t xml:space="preserve">171,000.00</w:t>
            </w:r>
          </w:p>
        </w:tc>
      </w:tr>
      <w:tr>
        <w:tc>
          <w:tcPr/>
          <w:p>
            <w:pPr>
              <w:pStyle w:val="Compact"/>
              <w:jc w:val="left"/>
            </w:pPr>
            <w:r>
              <w:t xml:space="preserve">02</w:t>
            </w:r>
          </w:p>
        </w:tc>
        <w:tc>
          <w:tcPr/>
          <w:p>
            <w:pPr>
              <w:pStyle w:val="Compact"/>
              <w:jc w:val="left"/>
            </w:pPr>
            <w:r>
              <w:t xml:space="preserve">Thermal Management &amp; Cryogenic Systems Consulting</w:t>
            </w:r>
          </w:p>
        </w:tc>
        <w:tc>
          <w:tcPr/>
          <w:p>
            <w:pPr>
              <w:pStyle w:val="Compact"/>
              <w:jc w:val="left"/>
            </w:pPr>
            <w:r>
              <w:t xml:space="preserve">3 weeks</w:t>
            </w:r>
          </w:p>
        </w:tc>
        <w:tc>
          <w:tcPr/>
          <w:p>
            <w:pPr>
              <w:pStyle w:val="Compact"/>
              <w:jc w:val="left"/>
            </w:pPr>
            <w:r>
              <w:t xml:space="preserve">24,000 / week</w:t>
            </w:r>
          </w:p>
        </w:tc>
        <w:tc>
          <w:tcPr/>
          <w:p>
            <w:pPr>
              <w:pStyle w:val="Compact"/>
              <w:jc w:val="left"/>
            </w:pPr>
            <w:r>
              <w:t xml:space="preserve">72,000.00</w:t>
            </w:r>
          </w:p>
        </w:tc>
      </w:tr>
      <w:tr>
        <w:tc>
          <w:tcPr/>
          <w:p>
            <w:pPr>
              <w:pStyle w:val="Compact"/>
              <w:jc w:val="left"/>
            </w:pPr>
            <w:r>
              <w:t xml:space="preserve">03</w:t>
            </w:r>
          </w:p>
        </w:tc>
        <w:tc>
          <w:tcPr/>
          <w:p>
            <w:pPr>
              <w:pStyle w:val="Compact"/>
              <w:jc w:val="left"/>
            </w:pPr>
            <w:r>
              <w:t xml:space="preserve">Regulatory &amp; SASO Compliance Documentation</w:t>
            </w:r>
          </w:p>
        </w:tc>
        <w:tc>
          <w:tcPr/>
          <w:p>
            <w:pPr>
              <w:pStyle w:val="Compact"/>
              <w:jc w:val="left"/>
            </w:pPr>
            <w:r>
              <w:t xml:space="preserve">2 weeks</w:t>
            </w:r>
          </w:p>
        </w:tc>
        <w:tc>
          <w:tcPr/>
          <w:p>
            <w:pPr>
              <w:pStyle w:val="Compact"/>
              <w:jc w:val="left"/>
            </w:pPr>
            <w:r>
              <w:t xml:space="preserve">18,500 / week</w:t>
            </w:r>
          </w:p>
        </w:tc>
        <w:tc>
          <w:tcPr/>
          <w:p>
            <w:pPr>
              <w:pStyle w:val="Compact"/>
              <w:jc w:val="left"/>
            </w:pPr>
            <w:r>
              <w:t xml:space="preserve">37,000.00</w:t>
            </w:r>
          </w:p>
        </w:tc>
      </w:tr>
      <w:tr>
        <w:tc>
          <w:tcPr/>
          <w:p>
            <w:pPr>
              <w:pStyle w:val="Compact"/>
              <w:jc w:val="left"/>
            </w:pPr>
            <w:r>
              <w:t xml:space="preserve">04</w:t>
            </w:r>
          </w:p>
        </w:tc>
        <w:tc>
          <w:tcPr/>
          <w:p>
            <w:pPr>
              <w:pStyle w:val="Compact"/>
              <w:jc w:val="left"/>
            </w:pPr>
            <w:r>
              <w:t xml:space="preserve">Knowledge Transfer &amp; Training Programme (40 hrs)</w:t>
            </w:r>
          </w:p>
        </w:tc>
        <w:tc>
          <w:tcPr/>
          <w:p>
            <w:pPr>
              <w:pStyle w:val="Compact"/>
              <w:jc w:val="left"/>
            </w:pPr>
            <w:r>
              <w:t xml:space="preserve">40 hours</w:t>
            </w:r>
          </w:p>
        </w:tc>
        <w:tc>
          <w:tcPr/>
          <w:p>
            <w:pPr>
              <w:pStyle w:val="Compact"/>
              <w:jc w:val="left"/>
            </w:pPr>
            <w:r>
              <w:t xml:space="preserve">1,200 / hour</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On-Site Technical Support — Riyadh, Saudi Arabia (3 days/week)</w:t>
            </w:r>
          </w:p>
        </w:tc>
        <w:tc>
          <w:tcPr/>
          <w:p>
            <w:pPr>
              <w:pStyle w:val="Compact"/>
              <w:jc w:val="left"/>
            </w:pPr>
            <w:r>
              <w:t xml:space="preserve">11 weeks</w:t>
            </w:r>
          </w:p>
        </w:tc>
        <w:tc>
          <w:tcPr/>
          <w:p>
            <w:pPr>
              <w:pStyle w:val="Compact"/>
              <w:jc w:val="left"/>
            </w:pPr>
            <w:r>
              <w:t xml:space="preserve">9,500 / week</w:t>
            </w:r>
          </w:p>
        </w:tc>
        <w:tc>
          <w:tcPr/>
          <w:p>
            <w:pPr>
              <w:pStyle w:val="Compact"/>
              <w:jc w:val="left"/>
            </w:pPr>
            <w:r>
              <w:t xml:space="preserve">104,500.00</w:t>
            </w:r>
          </w:p>
        </w:tc>
      </w:tr>
      <w:tr>
        <w:tc>
          <w:tcPr/>
          <w:p>
            <w:pPr>
              <w:pStyle w:val="Compact"/>
              <w:jc w:val="left"/>
            </w:pPr>
            <w:r>
              <w:t xml:space="preserve">06</w:t>
            </w:r>
          </w:p>
        </w:tc>
        <w:tc>
          <w:tcPr/>
          <w:p>
            <w:pPr>
              <w:pStyle w:val="Compact"/>
              <w:jc w:val="left"/>
            </w:pPr>
            <w:r>
              <w:t xml:space="preserve">Specialized Software Licences (ANSYS, NASTRAN, MATLAB Simulink)</w:t>
            </w:r>
          </w:p>
        </w:tc>
        <w:tc>
          <w:tcPr/>
          <w:p>
            <w:pPr>
              <w:pStyle w:val="Compact"/>
              <w:jc w:val="left"/>
            </w:pPr>
            <w:r>
              <w:t xml:space="preserve">11 weeks</w:t>
            </w:r>
          </w:p>
        </w:tc>
        <w:tc>
          <w:tcPr/>
          <w:p>
            <w:pPr>
              <w:pStyle w:val="Compact"/>
              <w:jc w:val="left"/>
            </w:pPr>
            <w:r>
              <w:t xml:space="preserve">6,200 / week</w:t>
            </w:r>
          </w:p>
        </w:tc>
        <w:tc>
          <w:tcPr/>
          <w:p>
            <w:pPr>
              <w:pStyle w:val="Compact"/>
              <w:jc w:val="left"/>
            </w:pPr>
            <w:r>
              <w:t xml:space="preserve">68,200.00</w:t>
            </w:r>
          </w:p>
        </w:tc>
      </w:tr>
      <w:tr>
        <w:tc>
          <w:tcPr/>
          <w:p>
            <w:pPr>
              <w:pStyle w:val="Compact"/>
              <w:jc w:val="left"/>
            </w:pPr>
            <w:r>
              <w:t xml:space="preserve">07</w:t>
            </w:r>
          </w:p>
        </w:tc>
        <w:tc>
          <w:tcPr/>
          <w:p>
            <w:pPr>
              <w:pStyle w:val="Compact"/>
              <w:jc w:val="left"/>
            </w:pPr>
            <w:r>
              <w:t xml:space="preserve">Travel, Accommodation &amp; Local Transportation within Riyadh</w:t>
            </w:r>
          </w:p>
        </w:tc>
        <w:tc>
          <w:tcPr/>
          <w:p>
            <w:pPr>
              <w:pStyle w:val="Compact"/>
              <w:jc w:val="left"/>
            </w:pPr>
            <w:r>
              <w:t xml:space="preserve">11 weeks</w:t>
            </w:r>
          </w:p>
        </w:tc>
        <w:tc>
          <w:tcPr/>
          <w:p>
            <w:pPr>
              <w:pStyle w:val="Compact"/>
              <w:jc w:val="left"/>
            </w:pPr>
            <w:r>
              <w:t xml:space="preserve">4,800 / week</w:t>
            </w:r>
          </w:p>
        </w:tc>
        <w:tc>
          <w:tcPr/>
          <w:p>
            <w:pPr>
              <w:pStyle w:val="Compact"/>
              <w:jc w:val="left"/>
            </w:pPr>
            <w:r>
              <w:t xml:space="preserve">52,800.00</w:t>
            </w:r>
          </w:p>
        </w:tc>
      </w:tr>
      <w:tr>
        <w:tc>
          <w:tcPr/>
          <w:p>
            <w:pPr>
              <w:pStyle w:val="Compact"/>
              <w:jc w:val="left"/>
            </w:pPr>
            <w:r>
              <w:t xml:space="preserve">08</w:t>
            </w:r>
          </w:p>
        </w:tc>
        <w:tc>
          <w:tcPr/>
          <w:p>
            <w:pPr>
              <w:pStyle w:val="Compact"/>
              <w:jc w:val="left"/>
            </w:pPr>
            <w:r>
              <w:t xml:space="preserve">Project Management &amp; Administrative Oversight</w:t>
            </w:r>
          </w:p>
        </w:tc>
        <w:tc>
          <w:tcPr/>
          <w:p>
            <w:pPr>
              <w:pStyle w:val="Compact"/>
              <w:jc w:val="left"/>
            </w:pPr>
            <w:r>
              <w:t xml:space="preserve">11 weeks</w:t>
            </w:r>
          </w:p>
        </w:tc>
        <w:tc>
          <w:tcPr/>
          <w:p>
            <w:pPr>
              <w:pStyle w:val="Compact"/>
              <w:jc w:val="left"/>
            </w:pPr>
            <w:r>
              <w:t xml:space="preserve">5,500 / week</w:t>
            </w:r>
          </w:p>
        </w:tc>
        <w:tc>
          <w:tcPr/>
          <w:p>
            <w:pPr>
              <w:pStyle w:val="Compact"/>
              <w:jc w:val="left"/>
            </w:pPr>
            <w:r>
              <w:t xml:space="preserve">60,500.00</w:t>
            </w:r>
          </w:p>
        </w:tc>
      </w:tr>
      <w:tr>
        <w:tc>
          <w:tcPr>
            <w:gridSpan w:val="4"/>
          </w:tcPr>
          <w:p>
            <w:pPr>
              <w:pStyle w:val="Compact"/>
              <w:jc w:val="left"/>
            </w:pPr>
            <w:r>
              <w:t xml:space="preserve">Subtotal</w:t>
            </w:r>
          </w:p>
        </w:tc>
        <w:tc>
          <w:tcPr/>
          <w:p>
            <w:pPr>
              <w:pStyle w:val="Compact"/>
              <w:jc w:val="left"/>
            </w:pPr>
            <w:r>
              <w:t xml:space="preserve">614,000.00</w:t>
            </w:r>
          </w:p>
        </w:tc>
      </w:tr>
      <w:tr>
        <w:tc>
          <w:tcPr>
            <w:gridSpan w:val="4"/>
          </w:tcPr>
          <w:p>
            <w:pPr>
              <w:pStyle w:val="Compact"/>
              <w:jc w:val="left"/>
            </w:pPr>
            <w:r>
              <w:t xml:space="preserve">VAT (15% — Saudi Arabia)</w:t>
            </w:r>
          </w:p>
        </w:tc>
        <w:tc>
          <w:tcPr/>
          <w:p>
            <w:pPr>
              <w:pStyle w:val="Compact"/>
              <w:jc w:val="left"/>
            </w:pPr>
            <w:r>
              <w:t xml:space="preserve">92,100.00</w:t>
            </w:r>
          </w:p>
        </w:tc>
      </w:tr>
      <w:tr>
        <w:tc>
          <w:tcPr>
            <w:gridSpan w:val="4"/>
          </w:tcPr>
          <w:p>
            <w:pPr>
              <w:pStyle w:val="Compact"/>
              <w:jc w:val="left"/>
            </w:pPr>
            <w:r>
              <w:rPr>
                <w:bCs/>
                <w:b/>
              </w:rPr>
              <w:t xml:space="preserve">TOTAL AMOUNT DUE (SAR)</w:t>
            </w:r>
          </w:p>
        </w:tc>
        <w:tc>
          <w:tcPr/>
          <w:p>
            <w:pPr>
              <w:pStyle w:val="Compact"/>
              <w:jc w:val="left"/>
            </w:pPr>
            <w:r>
              <w:rPr>
                <w:bCs/>
                <w:b/>
              </w:rPr>
              <w:t xml:space="preserve">706,100.00</w:t>
            </w:r>
          </w:p>
        </w:tc>
      </w:tr>
    </w:tbl>
    <w:bookmarkEnd w:id="25"/>
    <w:bookmarkStart w:id="26" w:name="payment-terms-and-schedule"/>
    <w:p>
      <w:pPr>
        <w:pStyle w:val="Heading2"/>
      </w:pPr>
      <w:r>
        <w:t xml:space="preserve">4. Payment Terms and Schedule</w:t>
      </w:r>
    </w:p>
    <w:p>
      <w:pPr>
        <w:pStyle w:val="FirstParagraph"/>
      </w:pPr>
      <w:r>
        <w:t xml:space="preserve">Payment for the services outlined in this</w:t>
      </w:r>
      <w:r>
        <w:t xml:space="preserve"> </w:t>
      </w:r>
      <w:r>
        <w:t xml:space="preserve">Quotation Estimate</w:t>
      </w:r>
      <w:r>
        <w:t xml:space="preserve"> </w:t>
      </w:r>
      <w:r>
        <w:t xml:space="preserve">shall be made in three equal instalments: 40% upon execution of the service agreement, 35% upon delivery of the mid-project technical review report, and the remaining 25% upon final acceptance of all deliverables by the client's engineering directorate in Riyadh, Saudi Arabia. All payments shall be processed via bank transfer to the account of Al-Riyadh Aerospace Engineering Consultants LLC, and shall be denominated in Saudi Riyal (SAR). Late payments shall attract a penalty of 1.5% per month as stipulated under Saudi commercial law.</w:t>
      </w:r>
    </w:p>
    <w:bookmarkEnd w:id="26"/>
    <w:bookmarkStart w:id="27"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sixty (60) calendar days from the date of issue. Beyond this period, rates and availability of the</w:t>
      </w:r>
      <w:r>
        <w:t xml:space="preserve"> </w:t>
      </w:r>
      <w:r>
        <w:t xml:space="preserve">Aerospace Engineer</w:t>
      </w:r>
      <w:r>
        <w:t xml:space="preserve"> </w:t>
      </w:r>
      <w:r>
        <w:t xml:space="preserve">may be subject to revision.</w:t>
      </w:r>
    </w:p>
    <w:p>
      <w:pPr>
        <w:numPr>
          <w:ilvl w:val="0"/>
          <w:numId w:val="1002"/>
        </w:numPr>
        <w:pStyle w:val="Compact"/>
      </w:pPr>
      <w:r>
        <w:t xml:space="preserve">All work performed under this engagement shall be conducted in strict adherence to the data protection and intellectual property laws of the Kingdom of Saudi Arabia. All proprietary data and design documents shall remain the exclusive property of the client.</w:t>
      </w:r>
    </w:p>
    <w:p>
      <w:pPr>
        <w:numPr>
          <w:ilvl w:val="0"/>
          <w:numId w:val="1002"/>
        </w:numPr>
        <w:pStyle w:val="Compact"/>
      </w:pPr>
      <w:r>
        <w:t xml:space="preserve">The</w:t>
      </w:r>
      <w:r>
        <w:t xml:space="preserve"> </w:t>
      </w:r>
      <w:r>
        <w:t xml:space="preserve">Aerospace Engineer</w:t>
      </w:r>
      <w:r>
        <w:t xml:space="preserve"> </w:t>
      </w:r>
      <w:r>
        <w:t xml:space="preserve">assigned to this project shall hold a minimum of fifteen (15) years of professional experience in propulsion systems engineering and shall possess a valid Saudi professional practice licence issued by the Saudi Council of Engineers.</w:t>
      </w:r>
    </w:p>
    <w:p>
      <w:pPr>
        <w:numPr>
          <w:ilvl w:val="0"/>
          <w:numId w:val="1002"/>
        </w:numPr>
        <w:pStyle w:val="Compact"/>
      </w:pPr>
      <w:r>
        <w:t xml:space="preserve">Any scope changes or additional services beyond those described in this</w:t>
      </w:r>
      <w:r>
        <w:t xml:space="preserve"> </w:t>
      </w:r>
      <w:r>
        <w:t xml:space="preserve">Quotation Estimate</w:t>
      </w:r>
      <w:r>
        <w:t xml:space="preserve"> </w:t>
      </w:r>
      <w:r>
        <w:t xml:space="preserve">shall require a formal written change order signed by both parties before work commences.</w:t>
      </w:r>
    </w:p>
    <w:p>
      <w:pPr>
        <w:numPr>
          <w:ilvl w:val="0"/>
          <w:numId w:val="1002"/>
        </w:numPr>
        <w:pStyle w:val="Compact"/>
      </w:pPr>
      <w:r>
        <w:t xml:space="preserve">The service provider shall maintain comprehensive professional indemnity insurance with a minimum coverage of SAR 5,000,000, valid throughout the duration of the project in Saudi Arabia.</w:t>
      </w:r>
    </w:p>
    <w:p>
      <w:pPr>
        <w:numPr>
          <w:ilvl w:val="0"/>
          <w:numId w:val="1002"/>
        </w:numPr>
        <w:pStyle w:val="Compact"/>
      </w:pPr>
      <w:r>
        <w:t xml:space="preserve">All deliverables shall be submitted in both Arabic and English to satisfy the bilingual documentation requirements of the Saudi Space Agency and relevant government bodies in Riyadh.</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accordance with the Saudi Civil Transactions Law.</w:t>
      </w:r>
    </w:p>
    <w:bookmarkEnd w:id="27"/>
    <w:bookmarkStart w:id="28"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scope, rates, and terms presented herein for the engagement of the</w:t>
      </w:r>
      <w:r>
        <w:t xml:space="preserve"> </w:t>
      </w:r>
      <w:r>
        <w:t xml:space="preserve">Aerospace Engineer</w:t>
      </w:r>
      <w:r>
        <w:t xml:space="preserve"> </w:t>
      </w:r>
      <w:r>
        <w:t xml:space="preserve">in</w:t>
      </w:r>
      <w:r>
        <w:t xml:space="preserve"> </w:t>
      </w:r>
      <w:r>
        <w:t xml:space="preserve">Saudi Arabia Riyadh</w:t>
      </w:r>
      <w:r>
        <w:t xml:space="preserve"> </w:t>
      </w:r>
      <w:r>
        <w:t xml:space="preserve">are acceptable and approved for proceeding to contract execution.</w:t>
      </w:r>
    </w:p>
    <w:p>
      <w:pPr>
        <w:pStyle w:val="BodyText"/>
      </w:pPr>
      <w:r>
        <w:rPr>
          <w:bCs/>
          <w:b/>
        </w:rPr>
        <w:t xml:space="preserve">For: Al-Riyadh Aerospace Engineering Consultants LLC</w:t>
      </w:r>
      <w:r>
        <w:br/>
      </w:r>
      <w:r>
        <w:t xml:space="preserve">Name: Eng. Sarah Al-Mutairi</w:t>
      </w:r>
      <w:r>
        <w:br/>
      </w:r>
      <w:r>
        <w:t xml:space="preserve">Title: Chief Engineer &amp; Managing Director</w:t>
      </w:r>
      <w:r>
        <w:br/>
      </w:r>
      <w:r>
        <w:t xml:space="preserve">Date: _______________</w:t>
      </w:r>
    </w:p>
    <w:p>
      <w:pPr>
        <w:pStyle w:val="BodyText"/>
      </w:pPr>
      <w:r>
        <w:rPr>
          <w:bCs/>
          <w:b/>
        </w:rPr>
        <w:t xml:space="preserve">For: Saudi Space Agency (SSA)</w:t>
      </w:r>
      <w:r>
        <w:br/>
      </w:r>
      <w:r>
        <w:t xml:space="preserve">Name: Dr. Khalid Al-Fahad</w:t>
      </w:r>
      <w:r>
        <w:br/>
      </w:r>
      <w:r>
        <w:t xml:space="preserve">Title: Director of Engineering</w:t>
      </w:r>
      <w:r>
        <w:br/>
      </w:r>
      <w:r>
        <w:t xml:space="preserve">Date: _______________</w:t>
      </w:r>
    </w:p>
    <w:p>
      <w:pPr>
        <w:pStyle w:val="BodyText"/>
      </w:pPr>
      <w:r>
        <w:t xml:space="preserve">This Quotation Estimate (Ref: QTE-2025-RAE-0472) was prepared by Al-Riyadh Aerospace Engineering Consultants LLC for use in Saudi Arabia Riyadh.</w:t>
      </w:r>
      <w:r>
        <w:t xml:space="preserve"> </w:t>
      </w:r>
      <w:r>
        <w:t xml:space="preserve">© 2025 Al-Riyadh Aerospace Engineering Consultants LLC. All rights reserved.</w:t>
      </w:r>
      <w:r>
        <w:br/>
      </w:r>
      <w:r>
        <w:t xml:space="preserve">This document is confidential and intended solely for the named recipient. Unauthorized reproduction or distribution is prohibited under Saudi Arabian law.</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Saudi Arabia Riyadh</dc:title>
  <dc:creator/>
  <dc:language>en</dc:language>
  <cp:keywords/>
  <dcterms:created xsi:type="dcterms:W3CDTF">2026-10-10T02:10:16Z</dcterms:created>
  <dcterms:modified xsi:type="dcterms:W3CDTF">2026-10-10T02:10:16Z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