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Orbital Dynamics &amp; Aerospace Consulting Group Co., Ltd.</w:t>
      </w:r>
    </w:p>
    <w:p>
      <w:pPr>
        <w:pStyle w:val="BodyText"/>
      </w:pPr>
      <w:r>
        <w:t xml:space="preserve">42, Teheran-ro 22-gil, Gangnam-gu, Seoul, South Korea 06185</w:t>
      </w:r>
    </w:p>
    <w:p>
      <w:pPr>
        <w:pStyle w:val="BodyText"/>
      </w:pPr>
      <w:r>
        <w:t xml:space="preserve">Tel: +82-2-555-0147 | Email: estimates@orbitaldynamics.kr</w:t>
      </w:r>
    </w:p>
    <w:p>
      <w:pPr>
        <w:pStyle w:val="BodyText"/>
      </w:pPr>
      <w:r>
        <w:t xml:space="preserve">Business Registration No. 220-88-04521 | VAT No. 123-45-67890</w:t>
      </w:r>
    </w:p>
    <w:bookmarkEnd w:id="20"/>
    <w:p>
      <w:pPr>
        <w:pStyle w:val="BodyText"/>
      </w:pPr>
      <w:r>
        <w:rPr>
          <w:bCs/>
          <w:b/>
        </w:rPr>
        <w:t xml:space="preserve">Quotation No.:</w:t>
      </w:r>
      <w:r>
        <w:t xml:space="preserve"> </w:t>
      </w:r>
      <w:r>
        <w:t xml:space="preserve">QTE-2025-SE-0847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Hanjin Aerospace Systems Division</w:t>
      </w:r>
      <w:r>
        <w:br/>
      </w:r>
      <w:r>
        <w:t xml:space="preserve">18, Seongnam-daero, Guro-gu</w:t>
      </w:r>
      <w:r>
        <w:br/>
      </w:r>
      <w:r>
        <w:t xml:space="preserve">Seoul, South Korea 08320</w:t>
      </w:r>
      <w:r>
        <w:br/>
      </w:r>
      <w:r>
        <w:t xml:space="preserve">Attn: Dr. Min-Ji Park, Procurement Director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Orbital Dynamics &amp; Aerospace Consulting Group Co., Ltd. to provide a comprehensive, itemized cost breakdown for the engagement of a senior</w:t>
      </w:r>
      <w:r>
        <w:t xml:space="preserve"> </w:t>
      </w:r>
      <w:r>
        <w:t xml:space="preserve">Aerospace Engineer</w:t>
      </w:r>
      <w:r>
        <w:t xml:space="preserve"> </w:t>
      </w:r>
      <w:r>
        <w:t xml:space="preserve">to support Hanjin Aerospace Systems Division in the design, analysis, and certification of next-generation satellite propulsion modules. All services described herein will be performed at the client's primary facility located in</w:t>
      </w:r>
      <w:r>
        <w:t xml:space="preserve"> </w:t>
      </w:r>
      <w:r>
        <w:t xml:space="preserve">South Korea Seoul</w:t>
      </w:r>
      <w:r>
        <w:t xml:space="preserve">, specifically at the Guro-gu research campus, unless otherwise agreed in writing. This document constitutes a formal commercial proposal and does not represent a binding contract until countersigned by both parties.</w:t>
      </w:r>
    </w:p>
    <w:bookmarkEnd w:id="21"/>
    <w:bookmarkStart w:id="22" w:name="X05efaf67c065ca5b5bbe111a138feb0c04dc180"/>
    <w:p>
      <w:pPr>
        <w:pStyle w:val="Heading2"/>
      </w:pPr>
      <w:r>
        <w:t xml:space="preserve">2. Professional Profile of the Aerospace Engineer</w:t>
      </w:r>
    </w:p>
    <w:p>
      <w:pPr>
        <w:pStyle w:val="FirstParagraph"/>
      </w:pPr>
      <w:r>
        <w:t xml:space="preserve">The</w:t>
      </w:r>
      <w:r>
        <w:t xml:space="preserve"> </w:t>
      </w:r>
      <w:r>
        <w:t xml:space="preserve">Aerospace Engineer</w:t>
      </w:r>
      <w:r>
        <w:t xml:space="preserve"> </w:t>
      </w:r>
      <w:r>
        <w:t xml:space="preserve">proposed for this engagement, Mr. David R. Thornton, P.E., holds a Ph.D. in Aerospace Engineering from the Georgia Institute of Technology and possesses over twenty-two years of progressive experience in propulsion systems, structural dynamics, and thermal management for orbital and sub-orbital platforms. He is a licensed Professional Engineer (P.E.) in the State of Texas, USA, and holds a valid Alien Employment Permit (AEP) issued by the Korean Ministry of Employment and Labor, authorizing him to perform professional engineering services within the Republic of Korea. His prior engagements include work with the Korea Aerospace Research Institute (KARI) in Daejeon and the National Aeronautics and Space Administration (NASA) Jet Propulsion Laboratory. The</w:t>
      </w:r>
      <w:r>
        <w:t xml:space="preserve"> </w:t>
      </w:r>
      <w:r>
        <w:t xml:space="preserve">Aerospace Engineer</w:t>
      </w:r>
      <w:r>
        <w:t xml:space="preserve"> </w:t>
      </w:r>
      <w:r>
        <w:t xml:space="preserve">will be stationed full-time at the client's Seoul facility for the duration of the contract period specified below.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Propulsion system design review and feasibility analysis for LEO satellite thruster modules</w:t>
            </w:r>
          </w:p>
        </w:tc>
        <w:tc>
          <w:tcPr/>
          <w:p>
            <w:pPr>
              <w:pStyle w:val="Compact"/>
              <w:jc w:val="left"/>
            </w:pPr>
            <w:r>
              <w:t xml:space="preserve">8 weeks</w:t>
            </w:r>
          </w:p>
        </w:tc>
        <w:tc>
          <w:tcPr/>
          <w:p>
            <w:pPr>
              <w:pStyle w:val="Compact"/>
              <w:jc w:val="left"/>
            </w:pPr>
            <w:r>
              <w:t xml:space="preserve">1,200,000/day</w:t>
            </w:r>
          </w:p>
        </w:tc>
        <w:tc>
          <w:tcPr/>
          <w:p>
            <w:pPr>
              <w:pStyle w:val="Compact"/>
              <w:jc w:val="left"/>
            </w:pPr>
            <w:r>
              <w:t xml:space="preserve">48,000,000</w:t>
            </w:r>
          </w:p>
        </w:tc>
        <w:tc>
          <w:tcPr/>
          <w:p>
            <w:pPr>
              <w:pStyle w:val="Compact"/>
              <w:jc w:val="left"/>
            </w:pPr>
            <w:r>
              <w:t xml:space="preserve">On-site at Seoul campus</w:t>
            </w:r>
          </w:p>
        </w:tc>
      </w:tr>
      <w:tr>
        <w:tc>
          <w:tcPr/>
          <w:p>
            <w:pPr>
              <w:pStyle w:val="Compact"/>
              <w:jc w:val="left"/>
            </w:pPr>
            <w:r>
              <w:t xml:space="preserve">2</w:t>
            </w:r>
          </w:p>
        </w:tc>
        <w:tc>
          <w:tcPr/>
          <w:p>
            <w:pPr>
              <w:pStyle w:val="Compact"/>
              <w:jc w:val="left"/>
            </w:pPr>
            <w:r>
              <w:t xml:space="preserve">Structural and thermal finite-element analysis (FEA) of engine bell and turbopump assembly</w:t>
            </w:r>
          </w:p>
        </w:tc>
        <w:tc>
          <w:tcPr/>
          <w:p>
            <w:pPr>
              <w:pStyle w:val="Compact"/>
              <w:jc w:val="left"/>
            </w:pPr>
            <w:r>
              <w:t xml:space="preserve">6 weeks</w:t>
            </w:r>
          </w:p>
        </w:tc>
        <w:tc>
          <w:tcPr/>
          <w:p>
            <w:pPr>
              <w:pStyle w:val="Compact"/>
              <w:jc w:val="left"/>
            </w:pPr>
            <w:r>
              <w:t xml:space="preserve">1,200,000/day</w:t>
            </w:r>
          </w:p>
        </w:tc>
        <w:tc>
          <w:tcPr/>
          <w:p>
            <w:pPr>
              <w:pStyle w:val="Compact"/>
              <w:jc w:val="left"/>
            </w:pPr>
            <w:r>
              <w:t xml:space="preserve">36,000,000</w:t>
            </w:r>
          </w:p>
        </w:tc>
        <w:tc>
          <w:tcPr/>
          <w:p>
            <w:pPr>
              <w:pStyle w:val="Compact"/>
              <w:jc w:val="left"/>
            </w:pPr>
            <w:r>
              <w:t xml:space="preserve">Includes ANSYS and NASTRAN modeling</w:t>
            </w:r>
          </w:p>
        </w:tc>
      </w:tr>
      <w:tr>
        <w:tc>
          <w:tcPr/>
          <w:p>
            <w:pPr>
              <w:pStyle w:val="Compact"/>
              <w:jc w:val="left"/>
            </w:pPr>
            <w:r>
              <w:t xml:space="preserve">3</w:t>
            </w:r>
          </w:p>
        </w:tc>
        <w:tc>
          <w:tcPr/>
          <w:p>
            <w:pPr>
              <w:pStyle w:val="Compact"/>
              <w:jc w:val="left"/>
            </w:pPr>
            <w:r>
              <w:t xml:space="preserve">Preparation of technical documentation for KARI and Ministry of Trade, Industry and Energy (MOTIE) certification</w:t>
            </w:r>
          </w:p>
        </w:tc>
        <w:tc>
          <w:tcPr/>
          <w:p>
            <w:pPr>
              <w:pStyle w:val="Compact"/>
              <w:jc w:val="left"/>
            </w:pPr>
            <w:r>
              <w:t xml:space="preserve">4 weeks</w:t>
            </w:r>
          </w:p>
        </w:tc>
        <w:tc>
          <w:tcPr/>
          <w:p>
            <w:pPr>
              <w:pStyle w:val="Compact"/>
              <w:jc w:val="left"/>
            </w:pPr>
            <w:r>
              <w:t xml:space="preserve">1,200,000/day</w:t>
            </w:r>
          </w:p>
        </w:tc>
        <w:tc>
          <w:tcPr/>
          <w:p>
            <w:pPr>
              <w:pStyle w:val="Compact"/>
              <w:jc w:val="left"/>
            </w:pPr>
            <w:r>
              <w:t xml:space="preserve">24,000,000</w:t>
            </w:r>
          </w:p>
        </w:tc>
        <w:tc>
          <w:tcPr/>
          <w:p>
            <w:pPr>
              <w:pStyle w:val="Compact"/>
              <w:jc w:val="left"/>
            </w:pPr>
            <w:r>
              <w:t xml:space="preserve">Compliant with KS standards</w:t>
            </w:r>
          </w:p>
        </w:tc>
      </w:tr>
      <w:tr>
        <w:tc>
          <w:tcPr/>
          <w:p>
            <w:pPr>
              <w:pStyle w:val="Compact"/>
              <w:jc w:val="left"/>
            </w:pPr>
            <w:r>
              <w:t xml:space="preserve">4</w:t>
            </w:r>
          </w:p>
        </w:tc>
        <w:tc>
          <w:tcPr/>
          <w:p>
            <w:pPr>
              <w:pStyle w:val="Compact"/>
              <w:jc w:val="left"/>
            </w:pPr>
            <w:r>
              <w:t xml:space="preserve">On-site mentoring and knowledge transfer to in-house Korean engineering team</w:t>
            </w:r>
          </w:p>
        </w:tc>
        <w:tc>
          <w:tcPr/>
          <w:p>
            <w:pPr>
              <w:pStyle w:val="Compact"/>
              <w:jc w:val="left"/>
            </w:pPr>
            <w:r>
              <w:t xml:space="preserve">10 weeks</w:t>
            </w:r>
          </w:p>
        </w:tc>
        <w:tc>
          <w:tcPr/>
          <w:p>
            <w:pPr>
              <w:pStyle w:val="Compact"/>
              <w:jc w:val="left"/>
            </w:pPr>
            <w:r>
              <w:t xml:space="preserve">1,000,000/day</w:t>
            </w:r>
          </w:p>
        </w:tc>
        <w:tc>
          <w:tcPr/>
          <w:p>
            <w:pPr>
              <w:pStyle w:val="Compact"/>
              <w:jc w:val="left"/>
            </w:pPr>
            <w:r>
              <w:t xml:space="preserve">50,000,000</w:t>
            </w:r>
          </w:p>
        </w:tc>
        <w:tc>
          <w:tcPr/>
          <w:p>
            <w:pPr>
              <w:pStyle w:val="Compact"/>
              <w:jc w:val="left"/>
            </w:pPr>
            <w:r>
              <w:t xml:space="preserve">Group sessions, max 8 engineers</w:t>
            </w:r>
          </w:p>
        </w:tc>
      </w:tr>
      <w:tr>
        <w:tc>
          <w:tcPr/>
          <w:p>
            <w:pPr>
              <w:pStyle w:val="Compact"/>
              <w:jc w:val="left"/>
            </w:pPr>
            <w:r>
              <w:t xml:space="preserve">5</w:t>
            </w:r>
          </w:p>
        </w:tc>
        <w:tc>
          <w:tcPr/>
          <w:p>
            <w:pPr>
              <w:pStyle w:val="Compact"/>
              <w:jc w:val="left"/>
            </w:pPr>
            <w:r>
              <w:t xml:space="preserve">Travel, accommodation, and per diem within South Korea Seoul metropolitan area</w:t>
            </w:r>
          </w:p>
        </w:tc>
        <w:tc>
          <w:tcPr/>
          <w:p>
            <w:pPr>
              <w:pStyle w:val="Compact"/>
              <w:jc w:val="left"/>
            </w:pPr>
            <w:r>
              <w:t xml:space="preserve">28 weeks</w:t>
            </w:r>
          </w:p>
        </w:tc>
        <w:tc>
          <w:tcPr/>
          <w:p>
            <w:pPr>
              <w:pStyle w:val="Compact"/>
              <w:jc w:val="left"/>
            </w:pPr>
            <w:r>
              <w:t xml:space="preserve">350,000/day</w:t>
            </w:r>
          </w:p>
        </w:tc>
        <w:tc>
          <w:tcPr/>
          <w:p>
            <w:pPr>
              <w:pStyle w:val="Compact"/>
              <w:jc w:val="left"/>
            </w:pPr>
            <w:r>
              <w:t xml:space="preserve">49,000,000</w:t>
            </w:r>
          </w:p>
        </w:tc>
        <w:tc>
          <w:tcPr/>
          <w:p>
            <w:pPr>
              <w:pStyle w:val="Compact"/>
              <w:jc w:val="left"/>
            </w:pPr>
            <w:r>
              <w:t xml:space="preserve">Includes housing in Gangnam-gu</w:t>
            </w:r>
          </w:p>
        </w:tc>
      </w:tr>
      <w:tr>
        <w:tc>
          <w:tcPr/>
          <w:p>
            <w:pPr>
              <w:pStyle w:val="Compact"/>
              <w:jc w:val="left"/>
            </w:pPr>
            <w:r>
              <w:t xml:space="preserve">6</w:t>
            </w:r>
          </w:p>
        </w:tc>
        <w:tc>
          <w:tcPr/>
          <w:p>
            <w:pPr>
              <w:pStyle w:val="Compact"/>
              <w:jc w:val="left"/>
            </w:pPr>
            <w:r>
              <w:t xml:space="preserve">Software licenses and computational resource allocation (cloud HPC)</w:t>
            </w:r>
          </w:p>
        </w:tc>
        <w:tc>
          <w:tcPr/>
          <w:p>
            <w:pPr>
              <w:pStyle w:val="Compact"/>
              <w:jc w:val="left"/>
            </w:pPr>
            <w:r>
              <w:t xml:space="preserve">28 weeks</w:t>
            </w:r>
          </w:p>
        </w:tc>
        <w:tc>
          <w:tcPr/>
          <w:p>
            <w:pPr>
              <w:pStyle w:val="Compact"/>
              <w:jc w:val="left"/>
            </w:pPr>
            <w:r>
              <w:t xml:space="preserve">Flat fee</w:t>
            </w:r>
          </w:p>
        </w:tc>
        <w:tc>
          <w:tcPr/>
          <w:p>
            <w:pPr>
              <w:pStyle w:val="Compact"/>
              <w:jc w:val="left"/>
            </w:pPr>
            <w:r>
              <w:t xml:space="preserve">18,000,000</w:t>
            </w:r>
          </w:p>
        </w:tc>
        <w:tc>
          <w:tcPr/>
          <w:p>
            <w:pPr>
              <w:pStyle w:val="Compact"/>
              <w:jc w:val="left"/>
            </w:pPr>
            <w:r>
              <w:t xml:space="preserve">ANSYS, MATLAB, cloud GPU</w:t>
            </w:r>
          </w:p>
        </w:tc>
      </w:tr>
      <w:tr>
        <w:tc>
          <w:tcPr/>
          <w:p>
            <w:pPr>
              <w:pStyle w:val="Compact"/>
              <w:jc w:val="left"/>
            </w:pPr>
            <w:r>
              <w:t xml:space="preserve">7</w:t>
            </w:r>
          </w:p>
        </w:tc>
        <w:tc>
          <w:tcPr/>
          <w:p>
            <w:pPr>
              <w:pStyle w:val="Compact"/>
              <w:jc w:val="left"/>
            </w:pPr>
            <w:r>
              <w:t xml:space="preserve">Administrative overhead, insurance, and professional liability coverage</w:t>
            </w:r>
          </w:p>
        </w:tc>
        <w:tc>
          <w:tcPr/>
          <w:p>
            <w:pPr>
              <w:pStyle w:val="Compact"/>
              <w:jc w:val="left"/>
            </w:pPr>
            <w:r>
              <w:t xml:space="preserve">28 weeks</w:t>
            </w:r>
          </w:p>
        </w:tc>
        <w:tc>
          <w:tcPr/>
          <w:p>
            <w:pPr>
              <w:pStyle w:val="Compact"/>
              <w:jc w:val="left"/>
            </w:pPr>
            <w:r>
              <w:t xml:space="preserve">Flat fee</w:t>
            </w:r>
          </w:p>
        </w:tc>
        <w:tc>
          <w:tcPr/>
          <w:p>
            <w:pPr>
              <w:pStyle w:val="Compact"/>
              <w:jc w:val="left"/>
            </w:pPr>
            <w:r>
              <w:t xml:space="preserve">12,000,000</w:t>
            </w:r>
          </w:p>
        </w:tc>
        <w:tc>
          <w:tcPr/>
          <w:p>
            <w:pPr>
              <w:pStyle w:val="Compact"/>
              <w:jc w:val="left"/>
            </w:pPr>
            <w:r>
              <w:t xml:space="preserve">Compliant with Korean labor law</w:t>
            </w:r>
          </w:p>
        </w:tc>
      </w:tr>
      <w:tr>
        <w:tc>
          <w:tcPr>
            <w:gridSpan w:val="4"/>
          </w:tcPr>
          <w:p>
            <w:pPr>
              <w:pStyle w:val="Compact"/>
              <w:jc w:val="right"/>
            </w:pPr>
            <w:r>
              <w:t xml:space="preserve">Subtotal (KRW)</w:t>
            </w:r>
          </w:p>
        </w:tc>
        <w:tc>
          <w:tcPr/>
          <w:p>
            <w:pPr>
              <w:pStyle w:val="Compact"/>
              <w:jc w:val="left"/>
            </w:pPr>
            <w:r>
              <w:t xml:space="preserve">237,000,000</w:t>
            </w:r>
          </w:p>
        </w:tc>
        <w:tc>
          <w:tcPr/>
          <w:p>
            <w:pPr>
              <w:pStyle w:val="Compact"/>
            </w:pPr>
          </w:p>
        </w:tc>
      </w:tr>
      <w:tr>
        <w:tc>
          <w:tcPr>
            <w:gridSpan w:val="4"/>
          </w:tcPr>
          <w:p>
            <w:pPr>
              <w:pStyle w:val="Compact"/>
              <w:jc w:val="right"/>
            </w:pPr>
            <w:r>
              <w:t xml:space="preserve">VAT (10%)</w:t>
            </w:r>
          </w:p>
        </w:tc>
        <w:tc>
          <w:tcPr/>
          <w:p>
            <w:pPr>
              <w:pStyle w:val="Compact"/>
              <w:jc w:val="left"/>
            </w:pPr>
            <w:r>
              <w:t xml:space="preserve">23,700,000</w:t>
            </w:r>
          </w:p>
        </w:tc>
        <w:tc>
          <w:tcPr/>
          <w:p>
            <w:pPr>
              <w:pStyle w:val="Compact"/>
            </w:pPr>
          </w:p>
        </w:tc>
      </w:tr>
      <w:tr>
        <w:tc>
          <w:tcPr>
            <w:gridSpan w:val="4"/>
          </w:tcPr>
          <w:p>
            <w:pPr>
              <w:pStyle w:val="Compact"/>
              <w:jc w:val="right"/>
            </w:pPr>
            <w:r>
              <w:t xml:space="preserve">Grand Total (KRW)</w:t>
            </w:r>
          </w:p>
        </w:tc>
        <w:tc>
          <w:tcPr/>
          <w:p>
            <w:pPr>
              <w:pStyle w:val="Compact"/>
              <w:jc w:val="left"/>
            </w:pPr>
            <w:r>
              <w:t xml:space="preserve">260,700,000</w:t>
            </w:r>
          </w:p>
        </w:tc>
        <w:tc>
          <w:tcPr/>
          <w:p>
            <w:pPr>
              <w:pStyle w:val="Compact"/>
              <w:jc w:val="left"/>
            </w:pPr>
            <w:r>
              <w:t xml:space="preserve">≈ USD 189,500</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four equal installments of KRW 65,175,000 (inclusive of VAT), due at the following milestones:</w:t>
      </w:r>
    </w:p>
    <w:p>
      <w:pPr>
        <w:numPr>
          <w:ilvl w:val="0"/>
          <w:numId w:val="1001"/>
        </w:numPr>
        <w:pStyle w:val="Compact"/>
      </w:pPr>
      <w:r>
        <w:rPr>
          <w:bCs/>
          <w:b/>
        </w:rPr>
        <w:t xml:space="preserve">Installment 1 (25%):</w:t>
      </w:r>
      <w:r>
        <w:t xml:space="preserve"> </w:t>
      </w:r>
      <w:r>
        <w:t xml:space="preserve">Due upon execution of the master services agreement and commencement of work in Seoul.</w:t>
      </w:r>
    </w:p>
    <w:p>
      <w:pPr>
        <w:numPr>
          <w:ilvl w:val="0"/>
          <w:numId w:val="1001"/>
        </w:numPr>
        <w:pStyle w:val="Compact"/>
      </w:pPr>
      <w:r>
        <w:rPr>
          <w:bCs/>
          <w:b/>
        </w:rPr>
        <w:t xml:space="preserve">Installment 2 (25%):</w:t>
      </w:r>
      <w:r>
        <w:t xml:space="preserve"> </w:t>
      </w:r>
      <w:r>
        <w:t xml:space="preserve">Due upon completion of the propulsion system design review (Week 8).</w:t>
      </w:r>
    </w:p>
    <w:p>
      <w:pPr>
        <w:numPr>
          <w:ilvl w:val="0"/>
          <w:numId w:val="1001"/>
        </w:numPr>
        <w:pStyle w:val="Compact"/>
      </w:pPr>
      <w:r>
        <w:rPr>
          <w:bCs/>
          <w:b/>
        </w:rPr>
        <w:t xml:space="preserve">Installment 3 (25%):</w:t>
      </w:r>
      <w:r>
        <w:t xml:space="preserve"> </w:t>
      </w:r>
      <w:r>
        <w:t xml:space="preserve">Due upon delivery of the FEA reports and certification documentation (Week 18).</w:t>
      </w:r>
    </w:p>
    <w:p>
      <w:pPr>
        <w:numPr>
          <w:ilvl w:val="0"/>
          <w:numId w:val="1001"/>
        </w:numPr>
        <w:pStyle w:val="Compact"/>
      </w:pPr>
      <w:r>
        <w:rPr>
          <w:bCs/>
          <w:b/>
        </w:rPr>
        <w:t xml:space="preserve">Installment 4 (25%):</w:t>
      </w:r>
      <w:r>
        <w:t xml:space="preserve"> </w:t>
      </w:r>
      <w:r>
        <w:t xml:space="preserve">Due upon final acceptance of all deliverables and completion of the knowledge-transfer program (Week 28).</w:t>
      </w:r>
    </w:p>
    <w:p>
      <w:pPr>
        <w:pStyle w:val="FirstParagraph"/>
      </w:pPr>
      <w:r>
        <w:t xml:space="preserve">All payments shall be made via bank transfer to the account of Orbital Dynamics &amp; Aerospace Consulting Group Co., Ltd., KEB Hana Bank, Seoul Gangnam Branch, Account No. 452-91-003847-2. Late payments shall accrue interest at the rate of 1.5% per month as stipulated under the Korean Commercial Act.</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Aerospace Engineer</w:t>
      </w:r>
      <w:r>
        <w:t xml:space="preserve"> </w:t>
      </w:r>
      <w:r>
        <w:t xml:space="preserve">are subject to reconfirmation.</w:t>
      </w:r>
    </w:p>
    <w:p>
      <w:pPr>
        <w:numPr>
          <w:ilvl w:val="0"/>
          <w:numId w:val="1002"/>
        </w:numPr>
        <w:pStyle w:val="Compact"/>
      </w:pPr>
      <w:r>
        <w:t xml:space="preserve">The</w:t>
      </w:r>
      <w:r>
        <w:t xml:space="preserve"> </w:t>
      </w:r>
      <w:r>
        <w:t xml:space="preserve">Aerospace Engineer</w:t>
      </w:r>
      <w:r>
        <w:t xml:space="preserve"> </w:t>
      </w:r>
      <w:r>
        <w:t xml:space="preserve">shall comply with all applicable laws and regulations of the Republic of Korea, including the Foreigner Employment Act, the Korean Standards (KS) system, and the National Defense Technology Control Regulations where applicable.</w:t>
      </w:r>
    </w:p>
    <w:p>
      <w:pPr>
        <w:numPr>
          <w:ilvl w:val="0"/>
          <w:numId w:val="1002"/>
        </w:numPr>
        <w:pStyle w:val="Compact"/>
      </w:pPr>
      <w:r>
        <w:t xml:space="preserve">All intellectual property, design data, and technical documentation produced during the engagement shall be the sole property of Hanjin Aerospace Systems Division upon full payment.</w:t>
      </w:r>
    </w:p>
    <w:p>
      <w:pPr>
        <w:numPr>
          <w:ilvl w:val="0"/>
          <w:numId w:val="1002"/>
        </w:numPr>
        <w:pStyle w:val="Compact"/>
      </w:pPr>
      <w:r>
        <w:t xml:space="preserve">Confidentiality obligations shall survive the termination of this agreement for a period of five (5) years, in accordance with the Korean Act on the Protection of Trade Secrets.</w:t>
      </w:r>
    </w:p>
    <w:p>
      <w:pPr>
        <w:numPr>
          <w:ilvl w:val="0"/>
          <w:numId w:val="1002"/>
        </w:numPr>
        <w:pStyle w:val="Compact"/>
      </w:pPr>
      <w:r>
        <w:t xml:space="preserve">Any change in scope exceeding ten percent (10%) of the original estimate shall require a written amendment to this</w:t>
      </w:r>
      <w:r>
        <w:t xml:space="preserve"> </w:t>
      </w:r>
      <w:r>
        <w:t xml:space="preserve">Quotation Estimate</w:t>
      </w:r>
      <w:r>
        <w:t xml:space="preserve">, signed by both parties, before additional work commences.</w:t>
      </w:r>
    </w:p>
    <w:p>
      <w:pPr>
        <w:numPr>
          <w:ilvl w:val="0"/>
          <w:numId w:val="1002"/>
        </w:numPr>
        <w:pStyle w:val="Compact"/>
      </w:pPr>
      <w:r>
        <w:t xml:space="preserve">Disputes arising from this agreement shall be resolved through arbitration under the rules of the Korean Commercial Arbitration Board (KCAB) in Seoul, South Korea.</w:t>
      </w:r>
    </w:p>
    <w:p>
      <w:pPr>
        <w:numPr>
          <w:ilvl w:val="0"/>
          <w:numId w:val="1002"/>
        </w:numPr>
        <w:pStyle w:val="Compact"/>
      </w:pPr>
      <w:r>
        <w:t xml:space="preserve">The</w:t>
      </w:r>
      <w:r>
        <w:t xml:space="preserve"> </w:t>
      </w:r>
      <w:r>
        <w:t xml:space="preserve">Aerospace Engineer</w:t>
      </w:r>
      <w:r>
        <w:t xml:space="preserve"> </w:t>
      </w:r>
      <w:r>
        <w:t xml:space="preserve">is engaged as an independent contractor and not as an employee of the client. All social insurance, national pension, and income tax obligations are the responsibility of the contracting entity in accordance with Korean labor and tax law.</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 the engagement of the</w:t>
      </w:r>
      <w:r>
        <w:t xml:space="preserve"> </w:t>
      </w:r>
      <w:r>
        <w:t xml:space="preserve">Aerospace Engineer</w:t>
      </w:r>
      <w:r>
        <w:t xml:space="preserve"> </w:t>
      </w:r>
      <w:r>
        <w:t xml:space="preserve">in</w:t>
      </w:r>
      <w:r>
        <w:t xml:space="preserve"> </w:t>
      </w:r>
      <w:r>
        <w:t xml:space="preserve">South Korea Seoul</w:t>
      </w:r>
      <w:r>
        <w:t xml:space="preserve">.</w:t>
      </w:r>
    </w:p>
    <w:bookmarkStart w:id="26" w:name="prepared-by-provider"/>
    <w:p>
      <w:pPr>
        <w:pStyle w:val="Heading3"/>
      </w:pPr>
      <w:r>
        <w:t xml:space="preserve">Prepared By (Provider)</w:t>
      </w:r>
    </w:p>
    <w:p>
      <w:pPr>
        <w:pStyle w:val="FirstParagraph"/>
      </w:pPr>
      <w:r>
        <w:t xml:space="preserve">Orbital Dynamics &amp; Aerospace Consulting Group Co., Ltd.</w:t>
      </w:r>
    </w:p>
    <w:p>
      <w:pPr>
        <w:pStyle w:val="BodyText"/>
      </w:pPr>
      <w:r>
        <w:t xml:space="preserve">Name: ____________________________</w:t>
      </w:r>
    </w:p>
    <w:p>
      <w:pPr>
        <w:pStyle w:val="BodyText"/>
      </w:pPr>
      <w:r>
        <w:t xml:space="preserve">Title: Chief Estimating Officer</w:t>
      </w:r>
    </w:p>
    <w:p>
      <w:pPr>
        <w:pStyle w:val="BodyText"/>
      </w:pPr>
      <w:r>
        <w:t xml:space="preserve">Date: ____________________________</w:t>
      </w:r>
    </w:p>
    <w:p>
      <w:pPr>
        <w:pStyle w:val="BodyText"/>
      </w:pPr>
      <w:r>
        <w:t xml:space="preserve">Signature &amp; Company Seal (Incheon)</w:t>
      </w:r>
    </w:p>
    <w:bookmarkEnd w:id="26"/>
    <w:bookmarkStart w:id="27" w:name="accepted-by-client"/>
    <w:p>
      <w:pPr>
        <w:pStyle w:val="Heading3"/>
      </w:pPr>
      <w:r>
        <w:t xml:space="preserve">Accepted By (Client)</w:t>
      </w:r>
    </w:p>
    <w:p>
      <w:pPr>
        <w:pStyle w:val="FirstParagraph"/>
      </w:pPr>
      <w:r>
        <w:t xml:space="preserve">Hanjin Aerospace Systems Division</w:t>
      </w:r>
    </w:p>
    <w:p>
      <w:pPr>
        <w:pStyle w:val="BodyText"/>
      </w:pPr>
      <w:r>
        <w:t xml:space="preserve">Name: ____________________________</w:t>
      </w:r>
    </w:p>
    <w:p>
      <w:pPr>
        <w:pStyle w:val="BodyText"/>
      </w:pPr>
      <w:r>
        <w:t xml:space="preserve">Title: Procurement Director</w:t>
      </w:r>
    </w:p>
    <w:p>
      <w:pPr>
        <w:pStyle w:val="BodyText"/>
      </w:pPr>
      <w:r>
        <w:t xml:space="preserve">Date: ____________________________</w:t>
      </w:r>
    </w:p>
    <w:p>
      <w:pPr>
        <w:pStyle w:val="BodyText"/>
      </w:pPr>
      <w:r>
        <w:t xml:space="preserve">Signature &amp; Company Seal (Incheon)</w:t>
      </w:r>
    </w:p>
    <w:bookmarkEnd w:id="27"/>
    <w:p>
      <w:pPr>
        <w:pStyle w:val="BodyText"/>
      </w:pPr>
      <w:r>
        <w:t xml:space="preserve">Document Reference: QTE-2025-SE-0847 | Page 1 of 1</w:t>
      </w:r>
    </w:p>
    <w:p>
      <w:pPr>
        <w:pStyle w:val="BodyText"/>
      </w:pPr>
      <w:r>
        <w:t xml:space="preserve">This Quotation Estimate was prepared for the exclusive use of Hanjin Aerospace Systems Division and may not be reproduced or distributed without written consent.</w:t>
      </w:r>
    </w:p>
    <w:p>
      <w:pPr>
        <w:pStyle w:val="BodyText"/>
      </w:pPr>
      <w:r>
        <w:t xml:space="preserve">© 2025 Orbital Dynamics &amp; Aerospace Consulting Group Co., Ltd. — Seoul, South Korea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South Korea Seoul</dc:title>
  <dc:creator/>
  <dc:language>en</dc:language>
  <cp:keywords/>
  <dcterms:created xsi:type="dcterms:W3CDTF">2026-10-10T04:11:39Z</dcterms:created>
  <dcterms:modified xsi:type="dcterms:W3CDTF">2026-10-10T04:11:39Z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