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rPr>
          <w:bCs/>
          <w:b/>
        </w:rPr>
        <w:t xml:space="preserve">Stellar Aerospace Engineering Consultancy Ltd.</w:t>
      </w:r>
    </w:p>
    <w:p>
      <w:pPr>
        <w:pStyle w:val="BodyText"/>
      </w:pPr>
      <w:r>
        <w:t xml:space="preserve">Atatürk Bulvarı No. 245, 34349 Beyoğlu, Istanbul, Turkey</w:t>
      </w:r>
    </w:p>
    <w:p>
      <w:pPr>
        <w:pStyle w:val="BodyText"/>
      </w:pPr>
      <w:r>
        <w:t xml:space="preserve">Tel: +90 212 555 0147 | Email: quotations@stellar-aero.com.tr</w:t>
      </w:r>
    </w:p>
    <w:p>
      <w:pPr>
        <w:pStyle w:val="BodyText"/>
      </w:pPr>
      <w:r>
        <w:t xml:space="preserve">Tax ID (VKN): 1234567890 | Trade Registry: Istanbul Ticaret Sicili No. 45678</w:t>
      </w:r>
    </w:p>
    <w:bookmarkEnd w:id="20"/>
    <w:p>
      <w:pPr>
        <w:pStyle w:val="BodyText"/>
      </w:pPr>
      <w:r>
        <w:rPr>
          <w:bCs/>
          <w:b/>
        </w:rPr>
        <w:t xml:space="preserve">Quotation No.:</w:t>
      </w:r>
      <w:r>
        <w:t xml:space="preserve"> </w:t>
      </w:r>
      <w:r>
        <w:t xml:space="preserve">QTE-2025-IST-00847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Project Location:</w:t>
      </w:r>
      <w:r>
        <w:t xml:space="preserve"> </w:t>
      </w:r>
      <w:r>
        <w:t xml:space="preserve">Turkey Istanbul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Anadolu Aerospace Systems A.Ş.</w:t>
            </w:r>
          </w:p>
        </w:tc>
      </w:tr>
      <w:tr>
        <w:tc>
          <w:tcPr/>
          <w:p>
            <w:pPr>
              <w:pStyle w:val="Compact"/>
              <w:jc w:val="left"/>
            </w:pPr>
            <w:r>
              <w:rPr>
                <w:bCs/>
                <w:b/>
              </w:rPr>
              <w:t xml:space="preserve">Address:</w:t>
            </w:r>
          </w:p>
        </w:tc>
        <w:tc>
          <w:tcPr/>
          <w:p>
            <w:pPr>
              <w:pStyle w:val="Compact"/>
              <w:jc w:val="left"/>
            </w:pPr>
            <w:r>
              <w:t xml:space="preserve">İkitelli OSB, 34490 Başakşehir, Istanbul, Turkey</w:t>
            </w:r>
          </w:p>
        </w:tc>
      </w:tr>
      <w:tr>
        <w:tc>
          <w:tcPr/>
          <w:p>
            <w:pPr>
              <w:pStyle w:val="Compact"/>
              <w:jc w:val="left"/>
            </w:pPr>
            <w:r>
              <w:rPr>
                <w:bCs/>
                <w:b/>
              </w:rPr>
              <w:t xml:space="preserve">Contact Person:</w:t>
            </w:r>
          </w:p>
        </w:tc>
        <w:tc>
          <w:tcPr/>
          <w:p>
            <w:pPr>
              <w:pStyle w:val="Compact"/>
              <w:jc w:val="left"/>
            </w:pPr>
            <w:r>
              <w:t xml:space="preserve">Dr. Emre Kaya – Chief Technology Officer</w:t>
            </w:r>
          </w:p>
        </w:tc>
      </w:tr>
      <w:tr>
        <w:tc>
          <w:tcPr/>
          <w:p>
            <w:pPr>
              <w:pStyle w:val="Compact"/>
              <w:jc w:val="left"/>
            </w:pPr>
            <w:r>
              <w:rPr>
                <w:bCs/>
                <w:b/>
              </w:rPr>
              <w:t xml:space="preserve">Email:</w:t>
            </w:r>
          </w:p>
        </w:tc>
        <w:tc>
          <w:tcPr/>
          <w:p>
            <w:pPr>
              <w:pStyle w:val="Compact"/>
              <w:jc w:val="left"/>
            </w:pPr>
            <w:r>
              <w:t xml:space="preserve">e.kaya@anadolu-aero.com.tr</w:t>
            </w:r>
          </w:p>
        </w:tc>
      </w:tr>
    </w:tbl>
    <w:bookmarkEnd w:id="21"/>
    <w:bookmarkStart w:id="22" w:name="X2a1fe246806ffa3e8640531b64daed651571928"/>
    <w:p>
      <w:pPr>
        <w:pStyle w:val="Heading2"/>
      </w:pPr>
      <w:r>
        <w:t xml:space="preserve">2. Scope of Work – Aerospace Engineer Services</w:t>
      </w:r>
    </w:p>
    <w:p>
      <w:pPr>
        <w:pStyle w:val="FirstParagraph"/>
      </w:pPr>
      <w:r>
        <w:t xml:space="preserve">This</w:t>
      </w:r>
      <w:r>
        <w:t xml:space="preserve"> </w:t>
      </w:r>
      <w:r>
        <w:t xml:space="preserve">Quotation Estimate</w:t>
      </w:r>
      <w:r>
        <w:t xml:space="preserve"> </w:t>
      </w:r>
      <w:r>
        <w:t xml:space="preserve">is issued by Stellar Aerospace Engineering Consultancy Ltd. to provide comprehensive</w:t>
      </w:r>
      <w:r>
        <w:t xml:space="preserve"> </w:t>
      </w:r>
      <w:r>
        <w:t xml:space="preserve">Aerospace Engineer</w:t>
      </w:r>
      <w:r>
        <w:t xml:space="preserve"> </w:t>
      </w:r>
      <w:r>
        <w:t xml:space="preserve">professional services for the design, analysis, and certification support of a next-generation regional turboprop aircraft component assembly. All engineering activities described herein shall be executed in accordance with the regulatory framework of the Turkish Directorate General of Civil Aviation (SHGM) and applicable EASA/FAA standards, with the primary operational base located in</w:t>
      </w:r>
      <w:r>
        <w:t xml:space="preserve"> </w:t>
      </w:r>
      <w:r>
        <w:t xml:space="preserve">Turkey Istanbul</w:t>
      </w:r>
      <w:r>
        <w:t xml:space="preserve">.</w:t>
      </w:r>
    </w:p>
    <w:p>
      <w:pPr>
        <w:pStyle w:val="BodyText"/>
      </w:pPr>
      <w:r>
        <w:t xml:space="preserve">The</w:t>
      </w:r>
      <w:r>
        <w:t xml:space="preserve"> </w:t>
      </w:r>
      <w:r>
        <w:t xml:space="preserve">Aerospace Engineer</w:t>
      </w:r>
      <w:r>
        <w:t xml:space="preserve"> </w:t>
      </w:r>
      <w:r>
        <w:t xml:space="preserve">engagement encompasses structural integrity analysis, aerodynamic performance modelling, propulsion system integration review, and full compliance documentation for the proposed airframe modifications. The project will be conducted over a period of fourteen (14) calendar months, with on-site supervision at the client's manufacturing facility in the İkitelli Organized Industrial Zone, Istanbul, and remote analytical support from our engineering centre in Beyoğlu, Istanbul.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Aerospace Engineer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Aerospace Engineer – Structural Analysis &amp; FEA Modelling (airframe load paths, fatigue life assessment)</w:t>
            </w:r>
          </w:p>
        </w:tc>
        <w:tc>
          <w:tcPr/>
          <w:p>
            <w:pPr>
              <w:pStyle w:val="Compact"/>
              <w:jc w:val="left"/>
            </w:pPr>
            <w:r>
              <w:t xml:space="preserve">14 months</w:t>
            </w:r>
          </w:p>
        </w:tc>
        <w:tc>
          <w:tcPr/>
          <w:p>
            <w:pPr>
              <w:pStyle w:val="Compact"/>
              <w:jc w:val="left"/>
            </w:pPr>
            <w:r>
              <w:t xml:space="preserve">12,500</w:t>
            </w:r>
          </w:p>
        </w:tc>
        <w:tc>
          <w:tcPr/>
          <w:p>
            <w:pPr>
              <w:pStyle w:val="Compact"/>
              <w:jc w:val="left"/>
            </w:pPr>
            <w:r>
              <w:t xml:space="preserve">14</w:t>
            </w:r>
          </w:p>
        </w:tc>
        <w:tc>
          <w:tcPr/>
          <w:p>
            <w:pPr>
              <w:pStyle w:val="Compact"/>
              <w:jc w:val="left"/>
            </w:pPr>
            <w:r>
              <w:t xml:space="preserve">175,000</w:t>
            </w:r>
          </w:p>
        </w:tc>
      </w:tr>
      <w:tr>
        <w:tc>
          <w:tcPr/>
          <w:p>
            <w:pPr>
              <w:pStyle w:val="Compact"/>
              <w:jc w:val="left"/>
            </w:pPr>
            <w:r>
              <w:t xml:space="preserve">02</w:t>
            </w:r>
          </w:p>
        </w:tc>
        <w:tc>
          <w:tcPr/>
          <w:p>
            <w:pPr>
              <w:pStyle w:val="Compact"/>
              <w:jc w:val="left"/>
            </w:pPr>
            <w:r>
              <w:t xml:space="preserve">Aerospace Engineer – Aerodynamic Design &amp; CFD Simulation (wing profile optimisation, drag reduction)</w:t>
            </w:r>
          </w:p>
        </w:tc>
        <w:tc>
          <w:tcPr/>
          <w:p>
            <w:pPr>
              <w:pStyle w:val="Compact"/>
              <w:jc w:val="left"/>
            </w:pPr>
            <w:r>
              <w:t xml:space="preserve">10 months</w:t>
            </w:r>
          </w:p>
        </w:tc>
        <w:tc>
          <w:tcPr/>
          <w:p>
            <w:pPr>
              <w:pStyle w:val="Compact"/>
              <w:jc w:val="left"/>
            </w:pPr>
            <w:r>
              <w:t xml:space="preserve">11,000</w:t>
            </w:r>
          </w:p>
        </w:tc>
        <w:tc>
          <w:tcPr/>
          <w:p>
            <w:pPr>
              <w:pStyle w:val="Compact"/>
              <w:jc w:val="left"/>
            </w:pPr>
            <w:r>
              <w:t xml:space="preserve">10</w:t>
            </w:r>
          </w:p>
        </w:tc>
        <w:tc>
          <w:tcPr/>
          <w:p>
            <w:pPr>
              <w:pStyle w:val="Compact"/>
              <w:jc w:val="left"/>
            </w:pPr>
            <w:r>
              <w:t xml:space="preserve">110,000</w:t>
            </w:r>
          </w:p>
        </w:tc>
      </w:tr>
      <w:tr>
        <w:tc>
          <w:tcPr/>
          <w:p>
            <w:pPr>
              <w:pStyle w:val="Compact"/>
              <w:jc w:val="left"/>
            </w:pPr>
            <w:r>
              <w:t xml:space="preserve">03</w:t>
            </w:r>
          </w:p>
        </w:tc>
        <w:tc>
          <w:tcPr/>
          <w:p>
            <w:pPr>
              <w:pStyle w:val="Compact"/>
              <w:jc w:val="left"/>
            </w:pPr>
            <w:r>
              <w:t xml:space="preserve">Aerospace Engineer – Propulsion System Integration &amp; Thermal Management Review</w:t>
            </w:r>
          </w:p>
        </w:tc>
        <w:tc>
          <w:tcPr/>
          <w:p>
            <w:pPr>
              <w:pStyle w:val="Compact"/>
              <w:jc w:val="left"/>
            </w:pPr>
            <w:r>
              <w:t xml:space="preserve">8 months</w:t>
            </w:r>
          </w:p>
        </w:tc>
        <w:tc>
          <w:tcPr/>
          <w:p>
            <w:pPr>
              <w:pStyle w:val="Compact"/>
              <w:jc w:val="left"/>
            </w:pPr>
            <w:r>
              <w:t xml:space="preserve">10,500</w:t>
            </w:r>
          </w:p>
        </w:tc>
        <w:tc>
          <w:tcPr/>
          <w:p>
            <w:pPr>
              <w:pStyle w:val="Compact"/>
              <w:jc w:val="left"/>
            </w:pPr>
            <w:r>
              <w:t xml:space="preserve">8</w:t>
            </w:r>
          </w:p>
        </w:tc>
        <w:tc>
          <w:tcPr/>
          <w:p>
            <w:pPr>
              <w:pStyle w:val="Compact"/>
              <w:jc w:val="left"/>
            </w:pPr>
            <w:r>
              <w:t xml:space="preserve">84,000</w:t>
            </w:r>
          </w:p>
        </w:tc>
      </w:tr>
      <w:tr>
        <w:tc>
          <w:tcPr/>
          <w:p>
            <w:pPr>
              <w:pStyle w:val="Compact"/>
              <w:jc w:val="left"/>
            </w:pPr>
            <w:r>
              <w:t xml:space="preserve">04</w:t>
            </w:r>
          </w:p>
        </w:tc>
        <w:tc>
          <w:tcPr/>
          <w:p>
            <w:pPr>
              <w:pStyle w:val="Compact"/>
              <w:jc w:val="left"/>
            </w:pPr>
            <w:r>
              <w:t xml:space="preserve">Aerospace Engineer – SHGM/EASA Certification Documentation &amp; Compliance Auditing</w:t>
            </w:r>
          </w:p>
        </w:tc>
        <w:tc>
          <w:tcPr/>
          <w:p>
            <w:pPr>
              <w:pStyle w:val="Compact"/>
              <w:jc w:val="left"/>
            </w:pPr>
            <w:r>
              <w:t xml:space="preserve">12 months</w:t>
            </w:r>
          </w:p>
        </w:tc>
        <w:tc>
          <w:tcPr/>
          <w:p>
            <w:pPr>
              <w:pStyle w:val="Compact"/>
              <w:jc w:val="left"/>
            </w:pPr>
            <w:r>
              <w:t xml:space="preserve">9,800</w:t>
            </w:r>
          </w:p>
        </w:tc>
        <w:tc>
          <w:tcPr/>
          <w:p>
            <w:pPr>
              <w:pStyle w:val="Compact"/>
              <w:jc w:val="left"/>
            </w:pPr>
            <w:r>
              <w:t xml:space="preserve">12</w:t>
            </w:r>
          </w:p>
        </w:tc>
        <w:tc>
          <w:tcPr/>
          <w:p>
            <w:pPr>
              <w:pStyle w:val="Compact"/>
              <w:jc w:val="left"/>
            </w:pPr>
            <w:r>
              <w:t xml:space="preserve">117,600</w:t>
            </w:r>
          </w:p>
        </w:tc>
      </w:tr>
      <w:tr>
        <w:tc>
          <w:tcPr/>
          <w:p>
            <w:pPr>
              <w:pStyle w:val="Compact"/>
              <w:jc w:val="left"/>
            </w:pPr>
            <w:r>
              <w:t xml:space="preserve">05</w:t>
            </w:r>
          </w:p>
        </w:tc>
        <w:tc>
          <w:tcPr/>
          <w:p>
            <w:pPr>
              <w:pStyle w:val="Compact"/>
              <w:jc w:val="left"/>
            </w:pPr>
            <w:r>
              <w:t xml:space="preserve">Junior Aerospace Engineer – Test Data Acquisition &amp; Ground-Based Wind Tunnel Coordination (Istanbul facility)</w:t>
            </w:r>
          </w:p>
        </w:tc>
        <w:tc>
          <w:tcPr/>
          <w:p>
            <w:pPr>
              <w:pStyle w:val="Compact"/>
              <w:jc w:val="left"/>
            </w:pPr>
            <w:r>
              <w:t xml:space="preserve">14 months</w:t>
            </w:r>
          </w:p>
        </w:tc>
        <w:tc>
          <w:tcPr/>
          <w:p>
            <w:pPr>
              <w:pStyle w:val="Compact"/>
              <w:jc w:val="left"/>
            </w:pPr>
            <w:r>
              <w:t xml:space="preserve">6,200</w:t>
            </w:r>
          </w:p>
        </w:tc>
        <w:tc>
          <w:tcPr/>
          <w:p>
            <w:pPr>
              <w:pStyle w:val="Compact"/>
              <w:jc w:val="left"/>
            </w:pPr>
            <w:r>
              <w:t xml:space="preserve">14</w:t>
            </w:r>
          </w:p>
        </w:tc>
        <w:tc>
          <w:tcPr/>
          <w:p>
            <w:pPr>
              <w:pStyle w:val="Compact"/>
              <w:jc w:val="left"/>
            </w:pPr>
            <w:r>
              <w:t xml:space="preserve">86,800</w:t>
            </w:r>
          </w:p>
        </w:tc>
      </w:tr>
      <w:tr>
        <w:tc>
          <w:tcPr/>
          <w:p>
            <w:pPr>
              <w:pStyle w:val="Compact"/>
              <w:jc w:val="left"/>
            </w:pPr>
            <w:r>
              <w:t xml:space="preserve">06</w:t>
            </w:r>
          </w:p>
        </w:tc>
        <w:tc>
          <w:tcPr/>
          <w:p>
            <w:pPr>
              <w:pStyle w:val="Compact"/>
              <w:jc w:val="left"/>
            </w:pPr>
            <w:r>
              <w:t xml:space="preserve">Project Management &amp; Client Liaison (dedicated Aerospace Engineer PM based in Turkey Istanbul)</w:t>
            </w:r>
          </w:p>
        </w:tc>
        <w:tc>
          <w:tcPr/>
          <w:p>
            <w:pPr>
              <w:pStyle w:val="Compact"/>
              <w:jc w:val="left"/>
            </w:pPr>
            <w:r>
              <w:t xml:space="preserve">14 months</w:t>
            </w:r>
          </w:p>
        </w:tc>
        <w:tc>
          <w:tcPr/>
          <w:p>
            <w:pPr>
              <w:pStyle w:val="Compact"/>
              <w:jc w:val="left"/>
            </w:pPr>
            <w:r>
              <w:t xml:space="preserve">8,500</w:t>
            </w:r>
          </w:p>
        </w:tc>
        <w:tc>
          <w:tcPr/>
          <w:p>
            <w:pPr>
              <w:pStyle w:val="Compact"/>
              <w:jc w:val="left"/>
            </w:pPr>
            <w:r>
              <w:t xml:space="preserve">14</w:t>
            </w:r>
          </w:p>
        </w:tc>
        <w:tc>
          <w:tcPr/>
          <w:p>
            <w:pPr>
              <w:pStyle w:val="Compact"/>
              <w:jc w:val="left"/>
            </w:pPr>
            <w:r>
              <w:t xml:space="preserve">119,000</w:t>
            </w:r>
          </w:p>
        </w:tc>
      </w:tr>
      <w:tr>
        <w:tc>
          <w:tcPr/>
          <w:p>
            <w:pPr>
              <w:pStyle w:val="Compact"/>
              <w:jc w:val="left"/>
            </w:pPr>
            <w:r>
              <w:t xml:space="preserve">07</w:t>
            </w:r>
          </w:p>
        </w:tc>
        <w:tc>
          <w:tcPr/>
          <w:p>
            <w:pPr>
              <w:pStyle w:val="Compact"/>
              <w:jc w:val="left"/>
            </w:pPr>
            <w:r>
              <w:t xml:space="preserve">Specialized Software Licences (ANSYS, CATIA V6, NASTRAN) – annual subscription allocation</w:t>
            </w:r>
          </w:p>
        </w:tc>
        <w:tc>
          <w:tcPr/>
          <w:p>
            <w:pPr>
              <w:pStyle w:val="Compact"/>
              <w:jc w:val="left"/>
            </w:pPr>
            <w:r>
              <w:t xml:space="preserve">14 months</w:t>
            </w:r>
          </w:p>
        </w:tc>
        <w:tc>
          <w:tcPr/>
          <w:p>
            <w:pPr>
              <w:pStyle w:val="Compact"/>
              <w:jc w:val="left"/>
            </w:pPr>
            <w:r>
              <w:t xml:space="preserve">4,200</w:t>
            </w:r>
          </w:p>
        </w:tc>
        <w:tc>
          <w:tcPr/>
          <w:p>
            <w:pPr>
              <w:pStyle w:val="Compact"/>
              <w:jc w:val="left"/>
            </w:pPr>
            <w:r>
              <w:t xml:space="preserve">1</w:t>
            </w:r>
          </w:p>
        </w:tc>
        <w:tc>
          <w:tcPr/>
          <w:p>
            <w:pPr>
              <w:pStyle w:val="Compact"/>
              <w:jc w:val="left"/>
            </w:pPr>
            <w:r>
              <w:t xml:space="preserve">4,200</w:t>
            </w:r>
          </w:p>
        </w:tc>
      </w:tr>
      <w:tr>
        <w:tc>
          <w:tcPr/>
          <w:p>
            <w:pPr>
              <w:pStyle w:val="Compact"/>
              <w:jc w:val="left"/>
            </w:pPr>
            <w:r>
              <w:t xml:space="preserve">08</w:t>
            </w:r>
          </w:p>
        </w:tc>
        <w:tc>
          <w:tcPr/>
          <w:p>
            <w:pPr>
              <w:pStyle w:val="Compact"/>
              <w:jc w:val="left"/>
            </w:pPr>
            <w:r>
              <w:t xml:space="preserve">Travel, Accommodation &amp; On-Site Supervision (Istanbul metropolitan area, weekly visits)</w:t>
            </w:r>
          </w:p>
        </w:tc>
        <w:tc>
          <w:tcPr/>
          <w:p>
            <w:pPr>
              <w:pStyle w:val="Compact"/>
              <w:jc w:val="left"/>
            </w:pPr>
            <w:r>
              <w:t xml:space="preserve">14 months</w:t>
            </w:r>
          </w:p>
        </w:tc>
        <w:tc>
          <w:tcPr/>
          <w:p>
            <w:pPr>
              <w:pStyle w:val="Compact"/>
              <w:jc w:val="left"/>
            </w:pPr>
            <w:r>
              <w:t xml:space="preserve">1,800</w:t>
            </w:r>
          </w:p>
        </w:tc>
        <w:tc>
          <w:tcPr/>
          <w:p>
            <w:pPr>
              <w:pStyle w:val="Compact"/>
              <w:jc w:val="left"/>
            </w:pPr>
            <w:r>
              <w:t xml:space="preserve">14</w:t>
            </w:r>
          </w:p>
        </w:tc>
        <w:tc>
          <w:tcPr/>
          <w:p>
            <w:pPr>
              <w:pStyle w:val="Compact"/>
              <w:jc w:val="left"/>
            </w:pPr>
            <w:r>
              <w:t xml:space="preserve">25,200</w:t>
            </w:r>
          </w:p>
        </w:tc>
      </w:tr>
      <w:tr>
        <w:tc>
          <w:tcPr>
            <w:gridSpan w:val="5"/>
          </w:tcPr>
          <w:p>
            <w:pPr>
              <w:pStyle w:val="Compact"/>
              <w:jc w:val="left"/>
            </w:pPr>
            <w:r>
              <w:t xml:space="preserve">Subtotal (Excluding VAT)</w:t>
            </w:r>
          </w:p>
        </w:tc>
        <w:tc>
          <w:tcPr/>
          <w:p>
            <w:pPr>
              <w:pStyle w:val="Compact"/>
              <w:jc w:val="left"/>
            </w:pPr>
            <w:r>
              <w:t xml:space="preserve">721,800</w:t>
            </w:r>
          </w:p>
        </w:tc>
      </w:tr>
      <w:tr>
        <w:tc>
          <w:tcPr>
            <w:gridSpan w:val="5"/>
          </w:tcPr>
          <w:p>
            <w:pPr>
              <w:pStyle w:val="Compact"/>
              <w:jc w:val="left"/>
            </w:pPr>
            <w:r>
              <w:t xml:space="preserve">VAT (KDV) – 20% (Turkey Domestic Rate)</w:t>
            </w:r>
          </w:p>
        </w:tc>
        <w:tc>
          <w:tcPr/>
          <w:p>
            <w:pPr>
              <w:pStyle w:val="Compact"/>
              <w:jc w:val="left"/>
            </w:pPr>
            <w:r>
              <w:t xml:space="preserve">144,360</w:t>
            </w:r>
          </w:p>
        </w:tc>
      </w:tr>
      <w:tr>
        <w:tc>
          <w:tcPr>
            <w:gridSpan w:val="5"/>
          </w:tcPr>
          <w:p>
            <w:pPr>
              <w:pStyle w:val="Compact"/>
              <w:jc w:val="left"/>
            </w:pPr>
            <w:r>
              <w:t xml:space="preserve">TOTAL AMOUNT DUE (EUR)</w:t>
            </w:r>
          </w:p>
        </w:tc>
        <w:tc>
          <w:tcPr/>
          <w:p>
            <w:pPr>
              <w:pStyle w:val="Compact"/>
              <w:jc w:val="left"/>
            </w:pPr>
            <w:r>
              <w:t xml:space="preserve">866,160</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20%</w:t>
            </w:r>
          </w:p>
        </w:tc>
        <w:tc>
          <w:tcPr/>
          <w:p>
            <w:pPr>
              <w:pStyle w:val="Compact"/>
              <w:jc w:val="left"/>
            </w:pPr>
            <w:r>
              <w:t xml:space="preserve">173,232</w:t>
            </w:r>
          </w:p>
        </w:tc>
        <w:tc>
          <w:tcPr/>
          <w:p>
            <w:pPr>
              <w:pStyle w:val="Compact"/>
              <w:jc w:val="left"/>
            </w:pPr>
            <w:r>
              <w:t xml:space="preserve">Within 15 days of acceptance</w:t>
            </w:r>
          </w:p>
        </w:tc>
      </w:tr>
      <w:tr>
        <w:tc>
          <w:tcPr/>
          <w:p>
            <w:pPr>
              <w:pStyle w:val="Compact"/>
              <w:jc w:val="left"/>
            </w:pPr>
            <w:r>
              <w:t xml:space="preserve">Completion of Structural Analysis Phase</w:t>
            </w:r>
          </w:p>
        </w:tc>
        <w:tc>
          <w:tcPr/>
          <w:p>
            <w:pPr>
              <w:pStyle w:val="Compact"/>
              <w:jc w:val="left"/>
            </w:pPr>
            <w:r>
              <w:t xml:space="preserve">25%</w:t>
            </w:r>
          </w:p>
        </w:tc>
        <w:tc>
          <w:tcPr/>
          <w:p>
            <w:pPr>
              <w:pStyle w:val="Compact"/>
              <w:jc w:val="left"/>
            </w:pPr>
            <w:r>
              <w:t xml:space="preserve">216,540</w:t>
            </w:r>
          </w:p>
        </w:tc>
        <w:tc>
          <w:tcPr/>
          <w:p>
            <w:pPr>
              <w:pStyle w:val="Compact"/>
              <w:jc w:val="left"/>
            </w:pPr>
            <w:r>
              <w:t xml:space="preserve">Month 4</w:t>
            </w:r>
          </w:p>
        </w:tc>
      </w:tr>
      <w:tr>
        <w:tc>
          <w:tcPr/>
          <w:p>
            <w:pPr>
              <w:pStyle w:val="Compact"/>
              <w:jc w:val="left"/>
            </w:pPr>
            <w:r>
              <w:t xml:space="preserve">Completion of Aerodynamic &amp; Propulsion Review</w:t>
            </w:r>
          </w:p>
        </w:tc>
        <w:tc>
          <w:tcPr/>
          <w:p>
            <w:pPr>
              <w:pStyle w:val="Compact"/>
              <w:jc w:val="left"/>
            </w:pPr>
            <w:r>
              <w:t xml:space="preserve">25%</w:t>
            </w:r>
          </w:p>
        </w:tc>
        <w:tc>
          <w:tcPr/>
          <w:p>
            <w:pPr>
              <w:pStyle w:val="Compact"/>
              <w:jc w:val="left"/>
            </w:pPr>
            <w:r>
              <w:t xml:space="preserve">216,540</w:t>
            </w:r>
          </w:p>
        </w:tc>
        <w:tc>
          <w:tcPr/>
          <w:p>
            <w:pPr>
              <w:pStyle w:val="Compact"/>
              <w:jc w:val="left"/>
            </w:pPr>
            <w:r>
              <w:t xml:space="preserve">Month 9</w:t>
            </w:r>
          </w:p>
        </w:tc>
      </w:tr>
      <w:tr>
        <w:tc>
          <w:tcPr/>
          <w:p>
            <w:pPr>
              <w:pStyle w:val="Compact"/>
              <w:jc w:val="left"/>
            </w:pPr>
            <w:r>
              <w:t xml:space="preserve">Final Certification Documentation Delivery</w:t>
            </w:r>
          </w:p>
        </w:tc>
        <w:tc>
          <w:tcPr/>
          <w:p>
            <w:pPr>
              <w:pStyle w:val="Compact"/>
              <w:jc w:val="left"/>
            </w:pPr>
            <w:r>
              <w:t xml:space="preserve">20%</w:t>
            </w:r>
          </w:p>
        </w:tc>
        <w:tc>
          <w:tcPr/>
          <w:p>
            <w:pPr>
              <w:pStyle w:val="Compact"/>
              <w:jc w:val="left"/>
            </w:pPr>
            <w:r>
              <w:t xml:space="preserve">173,232</w:t>
            </w:r>
          </w:p>
        </w:tc>
        <w:tc>
          <w:tcPr/>
          <w:p>
            <w:pPr>
              <w:pStyle w:val="Compact"/>
              <w:jc w:val="left"/>
            </w:pPr>
            <w:r>
              <w:t xml:space="preserve">Month 13</w:t>
            </w:r>
          </w:p>
        </w:tc>
      </w:tr>
      <w:tr>
        <w:tc>
          <w:tcPr/>
          <w:p>
            <w:pPr>
              <w:pStyle w:val="Compact"/>
              <w:jc w:val="left"/>
            </w:pPr>
            <w:r>
              <w:t xml:space="preserve">Project Close-Out &amp; Warranty Period End</w:t>
            </w:r>
          </w:p>
        </w:tc>
        <w:tc>
          <w:tcPr/>
          <w:p>
            <w:pPr>
              <w:pStyle w:val="Compact"/>
              <w:jc w:val="left"/>
            </w:pPr>
            <w:r>
              <w:t xml:space="preserve">10%</w:t>
            </w:r>
          </w:p>
        </w:tc>
        <w:tc>
          <w:tcPr/>
          <w:p>
            <w:pPr>
              <w:pStyle w:val="Compact"/>
              <w:jc w:val="left"/>
            </w:pPr>
            <w:r>
              <w:t xml:space="preserve">86,616</w:t>
            </w:r>
          </w:p>
        </w:tc>
        <w:tc>
          <w:tcPr/>
          <w:p>
            <w:pPr>
              <w:pStyle w:val="Compact"/>
              <w:jc w:val="left"/>
            </w:pPr>
            <w:r>
              <w:t xml:space="preserve">Month 14</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Beyond this period, pricing may be subject to revision based on market conditions, currency fluctuations, and resource availability in</w:t>
      </w:r>
      <w:r>
        <w:t xml:space="preserve"> </w:t>
      </w:r>
      <w:r>
        <w:t xml:space="preserve">Turkey Istanbul</w:t>
      </w:r>
      <w:r>
        <w:t xml:space="preserve">.</w:t>
      </w:r>
    </w:p>
    <w:p>
      <w:pPr>
        <w:numPr>
          <w:ilvl w:val="0"/>
          <w:numId w:val="1001"/>
        </w:numPr>
        <w:pStyle w:val="Compact"/>
      </w:pPr>
      <w:r>
        <w:t xml:space="preserve">All</w:t>
      </w:r>
      <w:r>
        <w:t xml:space="preserve"> </w:t>
      </w:r>
      <w:r>
        <w:t xml:space="preserve">Aerospace Engineer</w:t>
      </w:r>
      <w:r>
        <w:t xml:space="preserve"> </w:t>
      </w:r>
      <w:r>
        <w:t xml:space="preserve">personnel assigned to this project shall hold valid professional engineering licences recognized by the Turkish Chamber of Aeronautical Engineers (TMMOB Havacılık Mühendisleri Odası) and shall maintain current professional liability insurance.</w:t>
      </w:r>
    </w:p>
    <w:p>
      <w:pPr>
        <w:numPr>
          <w:ilvl w:val="0"/>
          <w:numId w:val="1001"/>
        </w:numPr>
        <w:pStyle w:val="Compact"/>
      </w:pPr>
      <w:r>
        <w:t xml:space="preserve">Payment terms are net thirty (30) days from the date of invoice issuance. Late payments shall accrue interest at the rate prescribed by the Turkish Law on Late Payment Interest in Commercial Transactions (6102 sayılı Türk Ticaret Kanunu).</w:t>
      </w:r>
    </w:p>
    <w:p>
      <w:pPr>
        <w:numPr>
          <w:ilvl w:val="0"/>
          <w:numId w:val="1001"/>
        </w:numPr>
        <w:pStyle w:val="Compact"/>
      </w:pPr>
      <w:r>
        <w:t xml:space="preserve">The</w:t>
      </w:r>
      <w:r>
        <w:t xml:space="preserve"> </w:t>
      </w:r>
      <w:r>
        <w:t xml:space="preserve">Aerospace Engineer</w:t>
      </w:r>
      <w:r>
        <w:t xml:space="preserve"> </w:t>
      </w:r>
      <w:r>
        <w:t xml:space="preserve">team shall comply with all applicable data protection regulations under the Turkish Personal Data Protection Law (KVKK – Law No. 6698) and the EU General Data Protection Regulation (GDPR) where applicable.</w:t>
      </w:r>
    </w:p>
    <w:p>
      <w:pPr>
        <w:numPr>
          <w:ilvl w:val="0"/>
          <w:numId w:val="1001"/>
        </w:numPr>
        <w:pStyle w:val="Compact"/>
      </w:pPr>
      <w:r>
        <w:t xml:space="preserve">Intellectual property generated specifically for the client under this engagement shall be transferred to Anadolu Aerospace Systems A.Ş. upon full payment. Pre-existing methodologies, software templates, and proprietary analysis tools remain the property of Stellar Aerospace Engineering Consultancy Ltd.</w:t>
      </w:r>
    </w:p>
    <w:p>
      <w:pPr>
        <w:numPr>
          <w:ilvl w:val="0"/>
          <w:numId w:val="1001"/>
        </w:numPr>
        <w:pStyle w:val="Compact"/>
      </w:pPr>
      <w:r>
        <w:t xml:space="preserve">Force majeure events, including but not limited to natural disasters, government sanctions, or pandemics affecting operations in</w:t>
      </w:r>
      <w:r>
        <w:t xml:space="preserve"> </w:t>
      </w:r>
      <w:r>
        <w:t xml:space="preserve">Turkey Istanbul</w:t>
      </w:r>
      <w:r>
        <w:t xml:space="preserve">, shall suspend contractual obligations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and the resulting contract shall be resolved through arbitration under the rules of the Istanbul Arbitration Centre (ISTAC), with the seat of arbitration in Istanbul, Turkey.</w:t>
      </w:r>
    </w:p>
    <w:p>
      <w:pPr>
        <w:numPr>
          <w:ilvl w:val="0"/>
          <w:numId w:val="1001"/>
        </w:numPr>
        <w:pStyle w:val="Compact"/>
      </w:pPr>
      <w:r>
        <w:t xml:space="preserve">The client agrees to provide timely access to manufacturing facilities, test equipment, and relevant technical documentation located in the Istanbul metropolitan area to ensure uninterrupted progress of the</w:t>
      </w:r>
      <w:r>
        <w:t xml:space="preserve"> </w:t>
      </w:r>
      <w:r>
        <w:t xml:space="preserve">Aerospace Engineer</w:t>
      </w:r>
      <w:r>
        <w:t xml:space="preserve"> </w:t>
      </w:r>
      <w:r>
        <w:t xml:space="preserve">deliverables.</w:t>
      </w:r>
    </w:p>
    <w:bookmarkEnd w:id="25"/>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provision of</w:t>
      </w:r>
      <w:r>
        <w:t xml:space="preserve"> </w:t>
      </w:r>
      <w:r>
        <w:t xml:space="preserve">Aerospace Engineer</w:t>
      </w:r>
      <w:r>
        <w:t xml:space="preserve"> </w:t>
      </w:r>
      <w:r>
        <w:t xml:space="preserve">services in</w:t>
      </w:r>
      <w:r>
        <w:t xml:space="preserve"> </w:t>
      </w:r>
      <w:r>
        <w:t xml:space="preserve">Turkey Istanbul</w:t>
      </w:r>
      <w:r>
        <w:t xml:space="preserve">.</w:t>
      </w:r>
    </w:p>
    <w:bookmarkStart w:id="26" w:name="X75d508804a3f0c485f07a042d85ae2da15978f8"/>
    <w:p>
      <w:pPr>
        <w:pStyle w:val="Heading3"/>
      </w:pPr>
      <w:r>
        <w:t xml:space="preserve">For Stellar Aerospace Engineering Consultancy Ltd.</w:t>
      </w:r>
    </w:p>
    <w:p>
      <w:pPr>
        <w:pStyle w:val="FirstParagraph"/>
      </w:pPr>
      <w:r>
        <w:t xml:space="preserve">Name: Prof. Dr. Ayşe Demirtaş</w:t>
      </w:r>
    </w:p>
    <w:p>
      <w:pPr>
        <w:pStyle w:val="BodyText"/>
      </w:pPr>
      <w:r>
        <w:t xml:space="preserve">Title: Managing Director &amp; Lead Aerospace Engineer</w:t>
      </w:r>
    </w:p>
    <w:p>
      <w:pPr>
        <w:pStyle w:val="BodyText"/>
      </w:pPr>
      <w:r>
        <w:t xml:space="preserve">Signature &amp; Company Stamp</w:t>
      </w:r>
    </w:p>
    <w:p>
      <w:pPr>
        <w:pStyle w:val="BodyText"/>
      </w:pPr>
      <w:r>
        <w:t xml:space="preserve">Date: _______________</w:t>
      </w:r>
    </w:p>
    <w:bookmarkEnd w:id="26"/>
    <w:bookmarkStart w:id="27" w:name="for-anadolu-aerospace-systems-a.ş."/>
    <w:p>
      <w:pPr>
        <w:pStyle w:val="Heading3"/>
      </w:pPr>
      <w:r>
        <w:t xml:space="preserve">For Anadolu Aerospace Systems A.Ş.</w:t>
      </w:r>
    </w:p>
    <w:p>
      <w:pPr>
        <w:pStyle w:val="FirstParagraph"/>
      </w:pPr>
      <w:r>
        <w:t xml:space="preserve">Name: Dr. Emre Kaya</w:t>
      </w:r>
    </w:p>
    <w:p>
      <w:pPr>
        <w:pStyle w:val="BodyText"/>
      </w:pPr>
      <w:r>
        <w:t xml:space="preserve">Title: Chief Technology Officer</w:t>
      </w:r>
    </w:p>
    <w:p>
      <w:pPr>
        <w:pStyle w:val="BodyText"/>
      </w:pPr>
      <w:r>
        <w:t xml:space="preserve">Signature &amp; Company Stamp</w:t>
      </w:r>
    </w:p>
    <w:p>
      <w:pPr>
        <w:pStyle w:val="BodyText"/>
      </w:pPr>
      <w:r>
        <w:t xml:space="preserve">Date: _______________</w:t>
      </w:r>
    </w:p>
    <w:bookmarkEnd w:id="27"/>
    <w:p>
      <w:pPr>
        <w:pStyle w:val="BodyText"/>
      </w:pPr>
      <w:r>
        <w:t xml:space="preserve">This Quotation Estimate (QTE-2025-IST-00847) is a confidential commercial document issued by Stellar Aerospace Engineering Consultancy Ltd., Istanbul, Turkey. Unauthorized reproduction or distribution is prohibited. All Aerospace Engineer services referenced herein are subject to the final executed contract. For inquiries regarding this quotation, please contact our Istanbul office at +90 212 555 0147 or quotations@stellar-aero.com.tr.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Turkey Istanbul</dc:title>
  <dc:creator/>
  <dc:language>en</dc:language>
  <cp:keywords/>
  <dcterms:created xsi:type="dcterms:W3CDTF">2026-10-10T01:15:50Z</dcterms:created>
  <dcterms:modified xsi:type="dcterms:W3CDTF">2026-10-10T01:15:50Z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