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t xml:space="preserve">Professional Aerospace Engineering Services</w:t>
      </w:r>
    </w:p>
    <w:p>
      <w:pPr>
        <w:pStyle w:val="BodyText"/>
      </w:pPr>
      <w:r>
        <w:t xml:space="preserve">Prepared for the United States Houston Region</w:t>
      </w:r>
    </w:p>
    <w:bookmarkEnd w:id="20"/>
    <w:p>
      <w:pPr>
        <w:pStyle w:val="BodyText"/>
      </w:pPr>
      <w:r>
        <w:rPr>
          <w:bCs/>
          <w:b/>
        </w:rPr>
        <w:t xml:space="preserve">Quotation No.:</w:t>
      </w:r>
      <w:r>
        <w:t xml:space="preserve"> </w:t>
      </w:r>
      <w:r>
        <w:t xml:space="preserve">QTE-HOU-2025-04782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Page:</w:t>
      </w:r>
      <w:r>
        <w:t xml:space="preserve"> </w:t>
      </w:r>
      <w:r>
        <w:t xml:space="preserve">1 of 1</w:t>
      </w:r>
    </w:p>
    <w:bookmarkStart w:id="23" w:name="parties-involved"/>
    <w:p>
      <w:pPr>
        <w:pStyle w:val="Heading2"/>
      </w:pPr>
      <w:r>
        <w:t xml:space="preserve">1. Parties Involved</w:t>
      </w:r>
    </w:p>
    <w:bookmarkStart w:id="21" w:name="service-provider"/>
    <w:p>
      <w:pPr>
        <w:pStyle w:val="Heading3"/>
      </w:pPr>
      <w:r>
        <w:t xml:space="preserve">Service Provider</w:t>
      </w:r>
    </w:p>
    <w:p>
      <w:pPr>
        <w:pStyle w:val="FirstParagraph"/>
      </w:pPr>
      <w:r>
        <w:rPr>
          <w:bCs/>
          <w:b/>
        </w:rPr>
        <w:t xml:space="preserve">Meridian Aerospace Engineering Group, LLC</w:t>
      </w:r>
    </w:p>
    <w:p>
      <w:pPr>
        <w:pStyle w:val="BodyText"/>
      </w:pPr>
      <w:r>
        <w:t xml:space="preserve">4820 Research Boulevard, Suite 310</w:t>
      </w:r>
    </w:p>
    <w:p>
      <w:pPr>
        <w:pStyle w:val="BodyText"/>
      </w:pPr>
      <w:r>
        <w:t xml:space="preserve">Houston, Texas 77056</w:t>
      </w:r>
    </w:p>
    <w:p>
      <w:pPr>
        <w:pStyle w:val="BodyText"/>
      </w:pPr>
      <w:r>
        <w:t xml:space="preserve">United States</w:t>
      </w:r>
    </w:p>
    <w:p>
      <w:pPr>
        <w:pStyle w:val="BodyText"/>
      </w:pPr>
      <w:r>
        <w:t xml:space="preserve">Tel: (713) 555-0147</w:t>
      </w:r>
    </w:p>
    <w:p>
      <w:pPr>
        <w:pStyle w:val="BodyText"/>
      </w:pPr>
      <w:r>
        <w:t xml:space="preserve">Email: estimates@meridian-aero.com</w:t>
      </w:r>
    </w:p>
    <w:p>
      <w:pPr>
        <w:pStyle w:val="BodyText"/>
      </w:pPr>
      <w:r>
        <w:t xml:space="preserve">TIN: 84-2917365</w:t>
      </w:r>
    </w:p>
    <w:bookmarkEnd w:id="21"/>
    <w:bookmarkStart w:id="22" w:name="client-recipient"/>
    <w:p>
      <w:pPr>
        <w:pStyle w:val="Heading3"/>
      </w:pPr>
      <w:r>
        <w:t xml:space="preserve">Client / Recipient</w:t>
      </w:r>
    </w:p>
    <w:p>
      <w:pPr>
        <w:pStyle w:val="FirstParagraph"/>
      </w:pPr>
      <w:r>
        <w:rPr>
          <w:bCs/>
          <w:b/>
        </w:rPr>
        <w:t xml:space="preserve">Galveston Bay Defense &amp; Space Systems, Inc.</w:t>
      </w:r>
    </w:p>
    <w:p>
      <w:pPr>
        <w:pStyle w:val="BodyText"/>
      </w:pPr>
      <w:r>
        <w:t xml:space="preserve">1200 NASA Parkway, Building C</w:t>
      </w:r>
    </w:p>
    <w:p>
      <w:pPr>
        <w:pStyle w:val="BodyText"/>
      </w:pPr>
      <w:r>
        <w:t xml:space="preserve">Houston, Texas 77058</w:t>
      </w:r>
    </w:p>
    <w:p>
      <w:pPr>
        <w:pStyle w:val="BodyText"/>
      </w:pPr>
      <w:r>
        <w:t xml:space="preserve">United States</w:t>
      </w:r>
    </w:p>
    <w:p>
      <w:pPr>
        <w:pStyle w:val="BodyText"/>
      </w:pPr>
      <w:r>
        <w:t xml:space="preserve">Attn: Dr. Elena Vasquez, Procurement Director</w:t>
      </w:r>
    </w:p>
    <w:p>
      <w:pPr>
        <w:pStyle w:val="BodyText"/>
      </w:pPr>
      <w:r>
        <w:t xml:space="preserve">Tel: (713) 555-0293</w:t>
      </w:r>
    </w:p>
    <w:p>
      <w:pPr>
        <w:pStyle w:val="BodyText"/>
      </w:pPr>
      <w:r>
        <w:t xml:space="preserve">Email: e.vasquez@galvestonbayds.com</w:t>
      </w:r>
    </w:p>
    <w:bookmarkEnd w:id="22"/>
    <w:bookmarkEnd w:id="23"/>
    <w:bookmarkStart w:id="24" w:name="scope-of-work-description"/>
    <w:p>
      <w:pPr>
        <w:pStyle w:val="Heading2"/>
      </w:pPr>
      <w:r>
        <w:t xml:space="preserve">2. Scope of Work &amp; Description</w:t>
      </w:r>
    </w:p>
    <w:p>
      <w:pPr>
        <w:pStyle w:val="FirstParagraph"/>
      </w:pPr>
      <w:r>
        <w:t xml:space="preserve">This</w:t>
      </w:r>
      <w:r>
        <w:t xml:space="preserve"> </w:t>
      </w:r>
      <w:r>
        <w:t xml:space="preserve">Quotation Estimate</w:t>
      </w:r>
      <w:r>
        <w:t xml:space="preserve"> </w:t>
      </w:r>
      <w:r>
        <w:t xml:space="preserve">is issued by Meridian Aerospace Engineering Group, LLC to provide comprehensive professional services rendered by a certified</w:t>
      </w:r>
      <w:r>
        <w:t xml:space="preserve"> </w:t>
      </w:r>
      <w:r>
        <w:t xml:space="preserve">Aerospace Engineer</w:t>
      </w:r>
      <w:r>
        <w:t xml:space="preserve"> </w:t>
      </w:r>
      <w:r>
        <w:t xml:space="preserve">to support the client's ongoing satellite ground-station integration and propulsion system diagnostics program. All services described herein will be performed in and around the</w:t>
      </w:r>
      <w:r>
        <w:t xml:space="preserve"> </w:t>
      </w:r>
      <w:r>
        <w:t xml:space="preserve">United States Houston</w:t>
      </w:r>
      <w:r>
        <w:t xml:space="preserve"> </w:t>
      </w:r>
      <w:r>
        <w:t xml:space="preserve">metropolitan area, leveraging the region's established aerospace infrastructure, proximity to NASA Johnson Space Center, and the deep pool of specialized engineering talent available in the Houston corridor.</w:t>
      </w:r>
    </w:p>
    <w:p>
      <w:pPr>
        <w:pStyle w:val="BodyText"/>
      </w:pPr>
      <w:r>
        <w:t xml:space="preserve">The</w:t>
      </w:r>
      <w:r>
        <w:t xml:space="preserve"> </w:t>
      </w:r>
      <w:r>
        <w:t xml:space="preserve">Aerospace Engineer</w:t>
      </w:r>
      <w:r>
        <w:t xml:space="preserve"> </w:t>
      </w:r>
      <w:r>
        <w:t xml:space="preserve">assigned to this engagement holds a Professional Engineer (PE) license in Mechanical and Aerospace Engineering issued by the Texas Board of Professional Engineers, Land Surveyors, and Geologists, and possesses over fourteen years of experience in orbital mechanics, thermal-vacuum testing, and flight hardware qualification. The engineer will operate primarily from the client's facility in Houston, Texas, with occasional travel to partner test sites within the</w:t>
      </w:r>
      <w:r>
        <w:t xml:space="preserve"> </w:t>
      </w:r>
      <w:r>
        <w:t xml:space="preserve">United States Houston</w:t>
      </w:r>
      <w:r>
        <w:t xml:space="preserve"> </w:t>
      </w:r>
      <w:r>
        <w:t xml:space="preserve">region, including the Clear Lake and Kemah industrial corridors.</w:t>
      </w:r>
    </w:p>
    <w:bookmarkEnd w:id="24"/>
    <w:bookmarkStart w:id="25" w:name="itemized-cost-breakdown"/>
    <w:p>
      <w:pPr>
        <w:pStyle w:val="Heading2"/>
      </w:pPr>
      <w:r>
        <w:t xml:space="preserve">3. Itemized Cost Breakdown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 / Hours</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On-site</w:t>
            </w:r>
            <w:r>
              <w:t xml:space="preserve"> </w:t>
            </w:r>
            <w:r>
              <w:t xml:space="preserve">Aerospace Engineer</w:t>
            </w:r>
            <w:r>
              <w:t xml:space="preserve"> </w:t>
            </w:r>
            <w:r>
              <w:t xml:space="preserve">consultation for satellite ground-station signal integration review and fault-tree analysis</w:t>
            </w:r>
          </w:p>
        </w:tc>
        <w:tc>
          <w:tcPr/>
          <w:p>
            <w:pPr>
              <w:pStyle w:val="Compact"/>
              <w:jc w:val="left"/>
            </w:pPr>
            <w:r>
              <w:t xml:space="preserve">80 hrs</w:t>
            </w:r>
          </w:p>
        </w:tc>
        <w:tc>
          <w:tcPr/>
          <w:p>
            <w:pPr>
              <w:pStyle w:val="Compact"/>
              <w:jc w:val="left"/>
            </w:pPr>
            <w:r>
              <w:t xml:space="preserve">$215.00</w:t>
            </w:r>
          </w:p>
        </w:tc>
        <w:tc>
          <w:tcPr/>
          <w:p>
            <w:pPr>
              <w:pStyle w:val="Compact"/>
              <w:jc w:val="left"/>
            </w:pPr>
            <w:r>
              <w:t xml:space="preserve">$17,200.00</w:t>
            </w:r>
          </w:p>
        </w:tc>
        <w:tc>
          <w:tcPr/>
          <w:p>
            <w:pPr>
              <w:pStyle w:val="Compact"/>
              <w:jc w:val="left"/>
            </w:pPr>
            <w:r>
              <w:t xml:space="preserve">Weeks 1–4</w:t>
            </w:r>
          </w:p>
        </w:tc>
      </w:tr>
      <w:tr>
        <w:tc>
          <w:tcPr/>
          <w:p>
            <w:pPr>
              <w:pStyle w:val="Compact"/>
              <w:jc w:val="left"/>
            </w:pPr>
            <w:r>
              <w:t xml:space="preserve">2</w:t>
            </w:r>
          </w:p>
        </w:tc>
        <w:tc>
          <w:tcPr/>
          <w:p>
            <w:pPr>
              <w:pStyle w:val="Compact"/>
              <w:jc w:val="left"/>
            </w:pPr>
            <w:r>
              <w:t xml:space="preserve">Propulsion subsystem thermal-vacuum test planning and data acquisition support (Houston test facility)</w:t>
            </w:r>
          </w:p>
        </w:tc>
        <w:tc>
          <w:tcPr/>
          <w:p>
            <w:pPr>
              <w:pStyle w:val="Compact"/>
              <w:jc w:val="left"/>
            </w:pPr>
            <w:r>
              <w:t xml:space="preserve">120 hrs</w:t>
            </w:r>
          </w:p>
        </w:tc>
        <w:tc>
          <w:tcPr/>
          <w:p>
            <w:pPr>
              <w:pStyle w:val="Compact"/>
              <w:jc w:val="left"/>
            </w:pPr>
            <w:r>
              <w:t xml:space="preserve">$235.00</w:t>
            </w:r>
          </w:p>
        </w:tc>
        <w:tc>
          <w:tcPr/>
          <w:p>
            <w:pPr>
              <w:pStyle w:val="Compact"/>
              <w:jc w:val="left"/>
            </w:pPr>
            <w:r>
              <w:t xml:space="preserve">$28,200.00</w:t>
            </w:r>
          </w:p>
        </w:tc>
        <w:tc>
          <w:tcPr/>
          <w:p>
            <w:pPr>
              <w:pStyle w:val="Compact"/>
              <w:jc w:val="left"/>
            </w:pPr>
            <w:r>
              <w:t xml:space="preserve">Weeks 5–10</w:t>
            </w:r>
          </w:p>
        </w:tc>
      </w:tr>
      <w:tr>
        <w:tc>
          <w:tcPr/>
          <w:p>
            <w:pPr>
              <w:pStyle w:val="Compact"/>
              <w:jc w:val="left"/>
            </w:pPr>
            <w:r>
              <w:t xml:space="preserve">3</w:t>
            </w:r>
          </w:p>
        </w:tc>
        <w:tc>
          <w:tcPr/>
          <w:p>
            <w:pPr>
              <w:pStyle w:val="Compact"/>
              <w:jc w:val="left"/>
            </w:pPr>
            <w:r>
              <w:t xml:space="preserve">Preparation of engineering design reports, FMEA documentation, and compliance matrices per NASA-STD-8719.13</w:t>
            </w:r>
          </w:p>
        </w:tc>
        <w:tc>
          <w:tcPr/>
          <w:p>
            <w:pPr>
              <w:pStyle w:val="Compact"/>
              <w:jc w:val="left"/>
            </w:pPr>
            <w:r>
              <w:t xml:space="preserve">60 hrs</w:t>
            </w:r>
          </w:p>
        </w:tc>
        <w:tc>
          <w:tcPr/>
          <w:p>
            <w:pPr>
              <w:pStyle w:val="Compact"/>
              <w:jc w:val="left"/>
            </w:pPr>
            <w:r>
              <w:t xml:space="preserve">$225.00</w:t>
            </w:r>
          </w:p>
        </w:tc>
        <w:tc>
          <w:tcPr/>
          <w:p>
            <w:pPr>
              <w:pStyle w:val="Compact"/>
              <w:jc w:val="left"/>
            </w:pPr>
            <w:r>
              <w:t xml:space="preserve">$13,500.00</w:t>
            </w:r>
          </w:p>
        </w:tc>
        <w:tc>
          <w:tcPr/>
          <w:p>
            <w:pPr>
              <w:pStyle w:val="Compact"/>
              <w:jc w:val="left"/>
            </w:pPr>
            <w:r>
              <w:t xml:space="preserve">Weeks 11–14</w:t>
            </w:r>
          </w:p>
        </w:tc>
      </w:tr>
      <w:tr>
        <w:tc>
          <w:tcPr/>
          <w:p>
            <w:pPr>
              <w:pStyle w:val="Compact"/>
              <w:jc w:val="left"/>
            </w:pPr>
            <w:r>
              <w:t xml:space="preserve">4</w:t>
            </w:r>
          </w:p>
        </w:tc>
        <w:tc>
          <w:tcPr/>
          <w:p>
            <w:pPr>
              <w:pStyle w:val="Compact"/>
              <w:jc w:val="left"/>
            </w:pPr>
            <w:r>
              <w:t xml:space="preserve">Peer review and technical sign-off of flight hardware qualification test procedures</w:t>
            </w:r>
          </w:p>
        </w:tc>
        <w:tc>
          <w:tcPr/>
          <w:p>
            <w:pPr>
              <w:pStyle w:val="Compact"/>
              <w:jc w:val="left"/>
            </w:pPr>
            <w:r>
              <w:t xml:space="preserve">40 hrs</w:t>
            </w:r>
          </w:p>
        </w:tc>
        <w:tc>
          <w:tcPr/>
          <w:p>
            <w:pPr>
              <w:pStyle w:val="Compact"/>
              <w:jc w:val="left"/>
            </w:pPr>
            <w:r>
              <w:t xml:space="preserve">$245.00</w:t>
            </w:r>
          </w:p>
        </w:tc>
        <w:tc>
          <w:tcPr/>
          <w:p>
            <w:pPr>
              <w:pStyle w:val="Compact"/>
              <w:jc w:val="left"/>
            </w:pPr>
            <w:r>
              <w:t xml:space="preserve">$9,800.00</w:t>
            </w:r>
          </w:p>
        </w:tc>
        <w:tc>
          <w:tcPr/>
          <w:p>
            <w:pPr>
              <w:pStyle w:val="Compact"/>
              <w:jc w:val="left"/>
            </w:pPr>
            <w:r>
              <w:t xml:space="preserve">Week 15</w:t>
            </w:r>
          </w:p>
        </w:tc>
      </w:tr>
      <w:tr>
        <w:tc>
          <w:tcPr/>
          <w:p>
            <w:pPr>
              <w:pStyle w:val="Compact"/>
              <w:jc w:val="left"/>
            </w:pPr>
            <w:r>
              <w:t xml:space="preserve">5</w:t>
            </w:r>
          </w:p>
        </w:tc>
        <w:tc>
          <w:tcPr/>
          <w:p>
            <w:pPr>
              <w:pStyle w:val="Compact"/>
              <w:jc w:val="left"/>
            </w:pPr>
            <w:r>
              <w:t xml:space="preserve">Travel and per-diem within the</w:t>
            </w:r>
            <w:r>
              <w:t xml:space="preserve"> </w:t>
            </w:r>
            <w:r>
              <w:t xml:space="preserve">United States Houston</w:t>
            </w:r>
            <w:r>
              <w:t xml:space="preserve"> </w:t>
            </w:r>
            <w:r>
              <w:t xml:space="preserve">metro area (Clear Lake, Kemah, Galveston test sites)</w:t>
            </w:r>
          </w:p>
        </w:tc>
        <w:tc>
          <w:tcPr/>
          <w:p>
            <w:pPr>
              <w:pStyle w:val="Compact"/>
              <w:jc w:val="left"/>
            </w:pPr>
            <w:r>
              <w:t xml:space="preserve">Flat fee</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Entire period</w:t>
            </w:r>
          </w:p>
        </w:tc>
      </w:tr>
      <w:tr>
        <w:tc>
          <w:tcPr/>
          <w:p>
            <w:pPr>
              <w:pStyle w:val="Compact"/>
              <w:jc w:val="left"/>
            </w:pPr>
            <w:r>
              <w:t xml:space="preserve">6</w:t>
            </w:r>
          </w:p>
        </w:tc>
        <w:tc>
          <w:tcPr/>
          <w:p>
            <w:pPr>
              <w:pStyle w:val="Compact"/>
              <w:jc w:val="left"/>
            </w:pPr>
            <w:r>
              <w:t xml:space="preserve">Specialized simulation software license (ANSYS Fluent + MATLAB Aerospace Toolbox) – 16-week subscription</w:t>
            </w:r>
          </w:p>
        </w:tc>
        <w:tc>
          <w:tcPr/>
          <w:p>
            <w:pPr>
              <w:pStyle w:val="Compact"/>
              <w:jc w:val="left"/>
            </w:pPr>
            <w:r>
              <w:t xml:space="preserve">1 license</w:t>
            </w:r>
          </w:p>
        </w:tc>
        <w:tc>
          <w:tcPr/>
          <w:p>
            <w:pPr>
              <w:pStyle w:val="Compact"/>
              <w:jc w:val="left"/>
            </w:pPr>
            <w:r>
              <w:t xml:space="preserve">$3,400.00</w:t>
            </w:r>
          </w:p>
        </w:tc>
        <w:tc>
          <w:tcPr/>
          <w:p>
            <w:pPr>
              <w:pStyle w:val="Compact"/>
              <w:jc w:val="left"/>
            </w:pPr>
            <w:r>
              <w:t xml:space="preserve">$3,400.00</w:t>
            </w:r>
          </w:p>
        </w:tc>
        <w:tc>
          <w:tcPr/>
          <w:p>
            <w:pPr>
              <w:pStyle w:val="Compact"/>
              <w:jc w:val="left"/>
            </w:pPr>
            <w:r>
              <w:t xml:space="preserve">Weeks 1–16</w:t>
            </w:r>
          </w:p>
        </w:tc>
      </w:tr>
      <w:tr>
        <w:tc>
          <w:tcPr/>
          <w:p>
            <w:pPr>
              <w:pStyle w:val="Compact"/>
              <w:jc w:val="left"/>
            </w:pPr>
            <w:r>
              <w:t xml:space="preserve">7</w:t>
            </w:r>
          </w:p>
        </w:tc>
        <w:tc>
          <w:tcPr/>
          <w:p>
            <w:pPr>
              <w:pStyle w:val="Compact"/>
              <w:jc w:val="left"/>
            </w:pPr>
            <w:r>
              <w:t xml:space="preserve">Contingency and schedule buffer (8% of labor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$6,456.00</w:t>
            </w:r>
          </w:p>
        </w:tc>
        <w:tc>
          <w:tcPr/>
          <w:p>
            <w:pPr>
              <w:pStyle w:val="Compact"/>
              <w:jc w:val="left"/>
            </w:pPr>
            <w:r>
              <w:t xml:space="preserve">Entire period</w:t>
            </w:r>
          </w:p>
        </w:tc>
      </w:tr>
      <w:tr>
        <w:tc>
          <w:tcPr>
            <w:gridSpan w:val="4"/>
          </w:tcPr>
          <w:p>
            <w:pPr>
              <w:pStyle w:val="Compact"/>
              <w:jc w:val="right"/>
            </w:pPr>
            <w:r>
              <w:t xml:space="preserve">Subtotal (USD):</w:t>
            </w:r>
          </w:p>
        </w:tc>
        <w:tc>
          <w:tcPr/>
          <w:p>
            <w:pPr>
              <w:pStyle w:val="Compact"/>
              <w:jc w:val="left"/>
            </w:pPr>
            <w:r>
              <w:t xml:space="preserve">$80,406.00</w:t>
            </w:r>
          </w:p>
        </w:tc>
        <w:tc>
          <w:tcPr/>
          <w:p>
            <w:pPr>
              <w:pStyle w:val="Compact"/>
            </w:pPr>
          </w:p>
        </w:tc>
      </w:tr>
      <w:tr>
        <w:tc>
          <w:tcPr>
            <w:gridSpan w:val="4"/>
          </w:tcPr>
          <w:p>
            <w:pPr>
              <w:pStyle w:val="Compact"/>
              <w:jc w:val="right"/>
            </w:pPr>
            <w:r>
              <w:t xml:space="preserve">Applicable Texas Sales &amp; Use Tax (8.25%):</w:t>
            </w:r>
          </w:p>
        </w:tc>
        <w:tc>
          <w:tcPr/>
          <w:p>
            <w:pPr>
              <w:pStyle w:val="Compact"/>
              <w:jc w:val="left"/>
            </w:pPr>
            <w:r>
              <w:t xml:space="preserve">$6,633.49</w:t>
            </w:r>
          </w:p>
        </w:tc>
        <w:tc>
          <w:tcPr/>
          <w:p>
            <w:pPr>
              <w:pStyle w:val="Compact"/>
            </w:pPr>
          </w:p>
        </w:tc>
      </w:tr>
      <w:tr>
        <w:tc>
          <w:tcPr>
            <w:gridSpan w:val="4"/>
          </w:tcPr>
          <w:p>
            <w:pPr>
              <w:pStyle w:val="Compact"/>
              <w:jc w:val="right"/>
            </w:pPr>
            <w:r>
              <w:t xml:space="preserve">TOTAL ESTIMATED COST (USD):</w:t>
            </w:r>
          </w:p>
        </w:tc>
        <w:tc>
          <w:tcPr/>
          <w:p>
            <w:pPr>
              <w:pStyle w:val="Compact"/>
              <w:jc w:val="left"/>
            </w:pPr>
            <w:r>
              <w:t xml:space="preserve">$87,039.49</w:t>
            </w:r>
          </w:p>
        </w:tc>
        <w:tc>
          <w:tcPr/>
          <w:p>
            <w:pPr>
              <w:pStyle w:val="Compact"/>
            </w:pPr>
          </w:p>
        </w:tc>
      </w:tr>
    </w:tbl>
    <w:bookmarkEnd w:id="25"/>
    <w:bookmarkStart w:id="26" w:name="payment-schedule"/>
    <w:p>
      <w:pPr>
        <w:pStyle w:val="Heading2"/>
      </w:pPr>
      <w:r>
        <w:t xml:space="preserve">4. Payment Schedule</w:t>
      </w:r>
    </w:p>
    <w:p>
      <w:pPr>
        <w:pStyle w:val="FirstParagraph"/>
      </w:pPr>
      <w:r>
        <w:t xml:space="preserve">This</w:t>
      </w:r>
      <w:r>
        <w:t xml:space="preserve"> </w:t>
      </w:r>
      <w:r>
        <w:t xml:space="preserve">Quotation Estimate</w:t>
      </w:r>
      <w:r>
        <w:t xml:space="preserve"> </w:t>
      </w:r>
      <w:r>
        <w:t xml:space="preserve">assumes the following milestone-based payment structure. Invoices will be issued upon completion of each milestone and are payable within thirty (30) calendar days of receipt. All payments shall be made in U.S. Dollars via ACH transfer to the account designated by Meridian Aerospace Engineering Group, LLC.</w:t>
      </w:r>
    </w:p>
    <w:p>
      <w:pPr>
        <w:numPr>
          <w:ilvl w:val="0"/>
          <w:numId w:val="1001"/>
        </w:numPr>
        <w:pStyle w:val="Compact"/>
      </w:pPr>
      <w:r>
        <w:rPr>
          <w:bCs/>
          <w:b/>
        </w:rPr>
        <w:t xml:space="preserve">Milestone 1 (30%):</w:t>
      </w:r>
      <w:r>
        <w:t xml:space="preserve"> </w:t>
      </w:r>
      <w:r>
        <w:t xml:space="preserve">Upon execution of the Statement of Work – $26,111.85</w:t>
      </w:r>
    </w:p>
    <w:p>
      <w:pPr>
        <w:numPr>
          <w:ilvl w:val="0"/>
          <w:numId w:val="1001"/>
        </w:numPr>
        <w:pStyle w:val="Compact"/>
      </w:pPr>
      <w:r>
        <w:rPr>
          <w:bCs/>
          <w:b/>
        </w:rPr>
        <w:t xml:space="preserve">Milestone 2 (25%):</w:t>
      </w:r>
      <w:r>
        <w:t xml:space="preserve"> </w:t>
      </w:r>
      <w:r>
        <w:t xml:space="preserve">Completion of thermal-vacuum test planning (End of Week 10) – $21,759.87</w:t>
      </w:r>
    </w:p>
    <w:p>
      <w:pPr>
        <w:numPr>
          <w:ilvl w:val="0"/>
          <w:numId w:val="1001"/>
        </w:numPr>
        <w:pStyle w:val="Compact"/>
      </w:pPr>
      <w:r>
        <w:rPr>
          <w:bCs/>
          <w:b/>
        </w:rPr>
        <w:t xml:space="preserve">Milestone 3 (25%):</w:t>
      </w:r>
      <w:r>
        <w:t xml:space="preserve"> </w:t>
      </w:r>
      <w:r>
        <w:t xml:space="preserve">Delivery of all engineering design reports and FMEA documentation (End of Week 14) – $21,759.87</w:t>
      </w:r>
    </w:p>
    <w:p>
      <w:pPr>
        <w:numPr>
          <w:ilvl w:val="0"/>
          <w:numId w:val="1001"/>
        </w:numPr>
        <w:pStyle w:val="Compact"/>
      </w:pPr>
      <w:r>
        <w:rPr>
          <w:bCs/>
          <w:b/>
        </w:rPr>
        <w:t xml:space="preserve">Milestone 4 (20%):</w:t>
      </w:r>
      <w:r>
        <w:t xml:space="preserve"> </w:t>
      </w:r>
      <w:r>
        <w:t xml:space="preserve">Final peer review sign-off and project closeout (End of Week 16) – $17,407.90</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After the expiration date, rates and availability of the designated</w:t>
      </w:r>
      <w:r>
        <w:t xml:space="preserve"> </w:t>
      </w:r>
      <w:r>
        <w:t xml:space="preserve">Aerospace Engineer</w:t>
      </w:r>
      <w:r>
        <w:t xml:space="preserve"> </w:t>
      </w:r>
      <w:r>
        <w:t xml:space="preserve">are subject to re-evaluation.</w:t>
      </w:r>
    </w:p>
    <w:p>
      <w:pPr>
        <w:numPr>
          <w:ilvl w:val="0"/>
          <w:numId w:val="1002"/>
        </w:numPr>
        <w:pStyle w:val="Compact"/>
      </w:pPr>
      <w:r>
        <w:t xml:space="preserve">All work will be performed in compliance with applicable federal, Texas state, and local regulations governing aerospace engineering practice in the</w:t>
      </w:r>
      <w:r>
        <w:t xml:space="preserve"> </w:t>
      </w:r>
      <w:r>
        <w:t xml:space="preserve">United States Houston</w:t>
      </w:r>
      <w:r>
        <w:t xml:space="preserve"> </w:t>
      </w:r>
      <w:r>
        <w:t xml:space="preserve">area, including but not limited to FAA Part 21 and NASA procurement guidelines where applicable.</w:t>
      </w:r>
    </w:p>
    <w:p>
      <w:pPr>
        <w:numPr>
          <w:ilvl w:val="0"/>
          <w:numId w:val="1002"/>
        </w:numPr>
        <w:pStyle w:val="Compact"/>
      </w:pPr>
      <w:r>
        <w:t xml:space="preserve">The</w:t>
      </w:r>
      <w:r>
        <w:t xml:space="preserve"> </w:t>
      </w:r>
      <w:r>
        <w:t xml:space="preserve">Aerospace Engineer</w:t>
      </w:r>
      <w:r>
        <w:t xml:space="preserve"> </w:t>
      </w:r>
      <w:r>
        <w:t xml:space="preserve">shall maintain professional liability insurance with a minimum coverage of $2,000,000 per occurrence throughout the duration of the engagement.</w:t>
      </w:r>
    </w:p>
    <w:p>
      <w:pPr>
        <w:numPr>
          <w:ilvl w:val="0"/>
          <w:numId w:val="1002"/>
        </w:numPr>
        <w:pStyle w:val="Compact"/>
      </w:pPr>
      <w:r>
        <w:t xml:space="preserve">Intellectual property developed specifically for the client under this engagement shall be the sole property of the client upon full payment. Pre-existing tools, methodologies, and proprietary software remain the property of Meridian Aerospace Engineering Group, LLC.</w:t>
      </w:r>
    </w:p>
    <w:p>
      <w:pPr>
        <w:numPr>
          <w:ilvl w:val="0"/>
          <w:numId w:val="1002"/>
        </w:numPr>
        <w:pStyle w:val="Compact"/>
      </w:pPr>
      <w:r>
        <w:t xml:space="preserve">Either party may terminate this agreement with fourteen (14) days written notice. In the event of early termination, the client shall pay for all services rendered up to the termination date plus a 10% administrative fee.</w:t>
      </w:r>
    </w:p>
    <w:p>
      <w:pPr>
        <w:numPr>
          <w:ilvl w:val="0"/>
          <w:numId w:val="1002"/>
        </w:numPr>
        <w:pStyle w:val="Compact"/>
      </w:pPr>
      <w:r>
        <w:t xml:space="preserve">This estimate does not include costs for physical test articles, consumables, or third-party laboratory fees unless explicitly stated in the itemized breakdown above.</w:t>
      </w:r>
    </w:p>
    <w:p>
      <w:pPr>
        <w:numPr>
          <w:ilvl w:val="0"/>
          <w:numId w:val="1002"/>
        </w:numPr>
        <w:pStyle w:val="Compact"/>
      </w:pPr>
      <w:r>
        <w:t xml:space="preserve">Any change in scope exceeding 10% of the original estimated hours will require a formal Change Order signed by both parties before additional work commences.</w:t>
      </w:r>
    </w:p>
    <w:p>
      <w:pPr>
        <w:numPr>
          <w:ilvl w:val="0"/>
          <w:numId w:val="1002"/>
        </w:numPr>
        <w:pStyle w:val="Compact"/>
      </w:pPr>
      <w:r>
        <w:t xml:space="preserve">Governing law for this</w:t>
      </w:r>
      <w:r>
        <w:t xml:space="preserve"> </w:t>
      </w:r>
      <w:r>
        <w:t xml:space="preserve">Quotation Estimate</w:t>
      </w:r>
      <w:r>
        <w:t xml:space="preserve"> </w:t>
      </w:r>
      <w:r>
        <w:t xml:space="preserve">and any resulting contract shall be the laws of the State of Texas, with exclusive jurisdiction in the Harris County District Courts, Houston,</w:t>
      </w:r>
      <w:r>
        <w:t xml:space="preserve"> </w:t>
      </w:r>
      <w:r>
        <w:t xml:space="preserve">United States</w:t>
      </w:r>
      <w:r>
        <w:t xml:space="preserve">.</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Meridian Aerospace Engineering Group, LLC to proceed with the engagement of the specified</w:t>
      </w:r>
      <w:r>
        <w:t xml:space="preserve"> </w:t>
      </w:r>
      <w:r>
        <w:t xml:space="preserve">Aerospace Engineer</w:t>
      </w:r>
      <w:r>
        <w:t xml:space="preserve"> </w:t>
      </w:r>
      <w:r>
        <w:t xml:space="preserve">for the services described herein, to be performed in the</w:t>
      </w:r>
      <w:r>
        <w:t xml:space="preserve"> </w:t>
      </w:r>
      <w:r>
        <w:t xml:space="preserve">United States Houston</w:t>
      </w:r>
      <w:r>
        <w:t xml:space="preserve"> </w:t>
      </w:r>
      <w:r>
        <w:t xml:space="preserve">region under the terms and conditions stated above.</w:t>
      </w:r>
    </w:p>
    <w:p>
      <w:pPr>
        <w:pStyle w:val="BodyText"/>
      </w:pPr>
      <w:r>
        <w:rPr>
          <w:bCs/>
          <w:b/>
        </w:rPr>
        <w:t xml:space="preserve">For Meridian Aerospace Engineering Group, LLC</w:t>
      </w:r>
    </w:p>
    <w:p>
      <w:pPr>
        <w:pStyle w:val="BodyText"/>
      </w:pPr>
      <w:r>
        <w:t xml:space="preserve">Signature / Date</w:t>
      </w:r>
      <w:r>
        <w:br/>
      </w:r>
      <w:r>
        <w:t xml:space="preserve">Jonathan R. Caldwell, P.E. – Principal Aerospace Engineer</w:t>
      </w:r>
    </w:p>
    <w:p>
      <w:pPr>
        <w:pStyle w:val="BodyText"/>
      </w:pPr>
      <w:r>
        <w:rPr>
          <w:bCs/>
          <w:b/>
        </w:rPr>
        <w:t xml:space="preserve">For Galveston Bay Defense &amp; Space Systems, Inc.</w:t>
      </w:r>
    </w:p>
    <w:p>
      <w:pPr>
        <w:pStyle w:val="BodyText"/>
      </w:pPr>
      <w:r>
        <w:t xml:space="preserve">Signature / Date</w:t>
      </w:r>
      <w:r>
        <w:br/>
      </w:r>
      <w:r>
        <w:t xml:space="preserve">Dr. Elena Vasquez – Procurement Director</w:t>
      </w:r>
    </w:p>
    <w:p>
      <w:pPr>
        <w:pStyle w:val="BodyText"/>
      </w:pPr>
      <w:r>
        <w:t xml:space="preserve">Meridian Aerospace Engineering Group, LLC • 4820 Research Boulevard, Suite 310, Houston, TX 77056, United States</w:t>
      </w:r>
    </w:p>
    <w:p>
      <w:pPr>
        <w:pStyle w:val="BodyText"/>
      </w:pPr>
      <w:r>
        <w:t xml:space="preserve">This Quotation Estimate is a commercial document and does not constitute a binding contract until countersigned by both parties.</w:t>
      </w:r>
    </w:p>
    <w:p>
      <w:pPr>
        <w:pStyle w:val="BodyText"/>
      </w:pPr>
      <w:r>
        <w:t xml:space="preserve">Document Ref: QTE-HOU-2025-04782 • Generated: June 12,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United States Houston</dc:title>
  <dc:creator/>
  <dc:language>en</dc:language>
  <cp:keywords/>
  <dcterms:created xsi:type="dcterms:W3CDTF">2026-10-10T07:24:38Z</dcterms:created>
  <dcterms:modified xsi:type="dcterms:W3CDTF">2026-10-10T07:24:38Z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