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Aerospace Engineering Services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QTE-2025-LA-0487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United States Los Angeles, California 90001</w:t>
            </w:r>
          </w:p>
        </w:tc>
      </w:tr>
      <w:tr>
        <w:tc>
          <w:tcPr/>
          <w:p>
            <w:pPr>
              <w:pStyle w:val="Compact"/>
              <w:jc w:val="left"/>
            </w:pPr>
            <w:r>
              <w:t xml:space="preserve">Prepared By</w:t>
            </w:r>
          </w:p>
        </w:tc>
        <w:tc>
          <w:tcPr/>
          <w:p>
            <w:pPr>
              <w:pStyle w:val="Compact"/>
              <w:jc w:val="left"/>
            </w:pPr>
            <w:r>
              <w:t xml:space="preserve">Meridian Aerospace Consulting Group, LLC</w:t>
            </w:r>
          </w:p>
        </w:tc>
      </w:tr>
      <w:tr>
        <w:tc>
          <w:tcPr/>
          <w:p>
            <w:pPr>
              <w:pStyle w:val="Compact"/>
              <w:jc w:val="left"/>
            </w:pPr>
            <w:r>
              <w:t xml:space="preserve">Prepared For</w:t>
            </w:r>
          </w:p>
        </w:tc>
        <w:tc>
          <w:tcPr/>
          <w:p>
            <w:pPr>
              <w:pStyle w:val="Compact"/>
              <w:jc w:val="left"/>
            </w:pPr>
            <w:r>
              <w:t xml:space="preserve">Client Name / Organization (To Be Confirmed)</w:t>
            </w:r>
          </w:p>
        </w:tc>
      </w:tr>
      <w:tr>
        <w:tc>
          <w:tcPr/>
          <w:p>
            <w:pPr>
              <w:pStyle w:val="Compact"/>
              <w:jc w:val="left"/>
            </w:pPr>
            <w:r>
              <w:t xml:space="preserve">Contact Person</w:t>
            </w:r>
          </w:p>
        </w:tc>
        <w:tc>
          <w:tcPr/>
          <w:p>
            <w:pPr>
              <w:pStyle w:val="Compact"/>
              <w:jc w:val="left"/>
            </w:pPr>
            <w:r>
              <w:t xml:space="preserve">Dr. Elena Vasquez, P.E. – Lead Aerospace Engineer</w:t>
            </w:r>
          </w:p>
        </w:tc>
      </w:tr>
      <w:tr>
        <w:tc>
          <w:tcPr/>
          <w:p>
            <w:pPr>
              <w:pStyle w:val="Compact"/>
              <w:jc w:val="left"/>
            </w:pPr>
            <w:r>
              <w:t xml:space="preserve">Phone / Email</w:t>
            </w:r>
          </w:p>
        </w:tc>
        <w:tc>
          <w:tcPr/>
          <w:p>
            <w:pPr>
              <w:pStyle w:val="Compact"/>
              <w:jc w:val="left"/>
            </w:pPr>
            <w:r>
              <w:t xml:space="preserve">(213) 555-0192 / e.vasquez@meridian-aero.com</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Aerospace Consulting Group, LLC to provide a comprehensive, itemized breakdown of professional fees, materials, and associated costs for the engagement of a senior</w:t>
      </w:r>
      <w:r>
        <w:t xml:space="preserve"> </w:t>
      </w:r>
      <w:r>
        <w:t xml:space="preserve">Aerospace Engineer</w:t>
      </w:r>
      <w:r>
        <w:t xml:space="preserve"> </w:t>
      </w:r>
      <w:r>
        <w:t xml:space="preserve">and supporting technical team. All services described herein will be performed in and around the</w:t>
      </w:r>
      <w:r>
        <w:t xml:space="preserve"> </w:t>
      </w:r>
      <w:r>
        <w:t xml:space="preserve">United States Los Angeles</w:t>
      </w:r>
      <w:r>
        <w:t xml:space="preserve"> </w:t>
      </w:r>
      <w:r>
        <w:t xml:space="preserve">metropolitan area, with primary operations conducted from our facility located at 4200 Century Boulevard, Los Angeles, CA 90045. This document serves as a formal proposal and does not constitute a binding contract until executed by both parties in accordance with the terms outlined in Section 7.</w:t>
      </w:r>
    </w:p>
    <w:bookmarkEnd w:id="21"/>
    <w:bookmarkStart w:id="22" w:name="X841595397f4e964603167d9e00e28ac0a0f7749"/>
    <w:p>
      <w:pPr>
        <w:pStyle w:val="Heading2"/>
      </w:pPr>
      <w:r>
        <w:t xml:space="preserve">2. Scope of Services – Aerospace Engineer Engagement</w:t>
      </w:r>
    </w:p>
    <w:p>
      <w:pPr>
        <w:pStyle w:val="FirstParagraph"/>
      </w:pPr>
      <w:r>
        <w:t xml:space="preserve">The</w:t>
      </w:r>
      <w:r>
        <w:t xml:space="preserve"> </w:t>
      </w:r>
      <w:r>
        <w:t xml:space="preserve">Aerospace Engineer</w:t>
      </w:r>
      <w:r>
        <w:t xml:space="preserve"> </w:t>
      </w:r>
      <w:r>
        <w:t xml:space="preserve">engagement encompasses the following deliverables and professional activities, all tailored to the client's specific aerospace program requirements within the</w:t>
      </w:r>
      <w:r>
        <w:t xml:space="preserve"> </w:t>
      </w:r>
      <w:r>
        <w:t xml:space="preserve">United States Los Angeles</w:t>
      </w:r>
      <w:r>
        <w:t xml:space="preserve"> </w:t>
      </w:r>
      <w:r>
        <w:t xml:space="preserve">region:</w:t>
      </w:r>
    </w:p>
    <w:p>
      <w:pPr>
        <w:numPr>
          <w:ilvl w:val="0"/>
          <w:numId w:val="1001"/>
        </w:numPr>
        <w:pStyle w:val="Compact"/>
      </w:pPr>
      <w:r>
        <w:rPr>
          <w:bCs/>
          <w:b/>
        </w:rPr>
        <w:t xml:space="preserve">Aircraft Structural Analysis &amp; Design Review:</w:t>
      </w:r>
      <w:r>
        <w:t xml:space="preserve"> </w:t>
      </w:r>
      <w:r>
        <w:t xml:space="preserve">Full finite element analysis (FEA) of primary and secondary airframe structures, including fatigue life assessment, composite layup optimization, and load path verification in compliance with FAA 14 CFR Part 23/25 standards.</w:t>
      </w:r>
    </w:p>
    <w:p>
      <w:pPr>
        <w:numPr>
          <w:ilvl w:val="0"/>
          <w:numId w:val="1001"/>
        </w:numPr>
        <w:pStyle w:val="Compact"/>
      </w:pPr>
      <w:r>
        <w:rPr>
          <w:bCs/>
          <w:b/>
        </w:rPr>
        <w:t xml:space="preserve">Propulsion System Integration Consulting:</w:t>
      </w:r>
      <w:r>
        <w:t xml:space="preserve"> </w:t>
      </w:r>
      <w:r>
        <w:t xml:space="preserve">Evaluation and integration support for turbofan and hybrid-electric propulsion architectures, including thermal management, vibration analysis, and performance modeling.</w:t>
      </w:r>
    </w:p>
    <w:p>
      <w:pPr>
        <w:numPr>
          <w:ilvl w:val="0"/>
          <w:numId w:val="1001"/>
        </w:numPr>
        <w:pStyle w:val="Compact"/>
      </w:pPr>
      <w:r>
        <w:rPr>
          <w:bCs/>
          <w:b/>
        </w:rPr>
        <w:t xml:space="preserve">Avionics &amp; Flight Control Systems Assessment:</w:t>
      </w:r>
      <w:r>
        <w:t xml:space="preserve"> </w:t>
      </w:r>
      <w:r>
        <w:t xml:space="preserve">Review of flight control law design, sensor fusion algorithms, and redundancy architecture for next-generation unmanned aerial vehicles (UAVs) and light sport aircraft.</w:t>
      </w:r>
    </w:p>
    <w:p>
      <w:pPr>
        <w:numPr>
          <w:ilvl w:val="0"/>
          <w:numId w:val="1001"/>
        </w:numPr>
        <w:pStyle w:val="Compact"/>
      </w:pPr>
      <w:r>
        <w:rPr>
          <w:bCs/>
          <w:b/>
        </w:rPr>
        <w:t xml:space="preserve">Regulatory Compliance &amp; Certification Support:</w:t>
      </w:r>
      <w:r>
        <w:t xml:space="preserve"> </w:t>
      </w:r>
      <w:r>
        <w:t xml:space="preserve">Assistance with FAA Type Certificate, Supplemental Type Certificate (STC), and Production Certificate applications, including preparation of compliance matrices and test data packages.</w:t>
      </w:r>
    </w:p>
    <w:p>
      <w:pPr>
        <w:numPr>
          <w:ilvl w:val="0"/>
          <w:numId w:val="1001"/>
        </w:numPr>
        <w:pStyle w:val="Compact"/>
      </w:pPr>
      <w:r>
        <w:rPr>
          <w:bCs/>
          <w:b/>
        </w:rPr>
        <w:t xml:space="preserve">Wind Tunnel &amp; CFD Simulation Coordination:</w:t>
      </w:r>
      <w:r>
        <w:t xml:space="preserve"> </w:t>
      </w:r>
      <w:r>
        <w:t xml:space="preserve">Scheduling and technical oversight of computational fluid dynamics (CFD) runs and physical wind tunnel testing at facilities accessible from the</w:t>
      </w:r>
      <w:r>
        <w:t xml:space="preserve"> </w:t>
      </w:r>
      <w:r>
        <w:t xml:space="preserve">United States Los Angeles</w:t>
      </w:r>
      <w:r>
        <w:t xml:space="preserve"> </w:t>
      </w:r>
      <w:r>
        <w:t xml:space="preserve">corridor, including the Arnold Engineering Development Complex (AEDC) liaison.</w:t>
      </w:r>
    </w:p>
    <w:p>
      <w:pPr>
        <w:numPr>
          <w:ilvl w:val="0"/>
          <w:numId w:val="1001"/>
        </w:numPr>
        <w:pStyle w:val="Compact"/>
      </w:pPr>
      <w:r>
        <w:rPr>
          <w:bCs/>
          <w:b/>
        </w:rPr>
        <w:t xml:space="preserve">Project Management &amp; Technical Reporting:</w:t>
      </w:r>
      <w:r>
        <w:t xml:space="preserve"> </w:t>
      </w:r>
      <w:r>
        <w:t xml:space="preserve">Weekly progress reporting, milestone deliverables, and a final comprehensive engineering report suitable for submission to regulatory authorities and investor stakeholders.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3.1</w:t>
            </w:r>
          </w:p>
        </w:tc>
        <w:tc>
          <w:tcPr/>
          <w:p>
            <w:pPr>
              <w:pStyle w:val="Compact"/>
              <w:jc w:val="left"/>
            </w:pPr>
            <w:r>
              <w:t xml:space="preserve">Senior Aerospace Engineer – Structural Analysis (Dr. E. Vasquez, P.E.)</w:t>
            </w:r>
          </w:p>
        </w:tc>
        <w:tc>
          <w:tcPr/>
          <w:p>
            <w:pPr>
              <w:pStyle w:val="Compact"/>
              <w:jc w:val="left"/>
            </w:pPr>
            <w:r>
              <w:t xml:space="preserve">120 hrs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3.2</w:t>
            </w:r>
          </w:p>
        </w:tc>
        <w:tc>
          <w:tcPr/>
          <w:p>
            <w:pPr>
              <w:pStyle w:val="Compact"/>
              <w:jc w:val="left"/>
            </w:pPr>
            <w:r>
              <w:t xml:space="preserve">Aerospace Engineer – Propulsion &amp; Thermal Systems (Mr. J. Okafor, P.E.)</w:t>
            </w:r>
          </w:p>
        </w:tc>
        <w:tc>
          <w:tcPr/>
          <w:p>
            <w:pPr>
              <w:pStyle w:val="Compact"/>
              <w:jc w:val="left"/>
            </w:pPr>
            <w:r>
              <w:t xml:space="preserve">80 hrs</w:t>
            </w:r>
          </w:p>
        </w:tc>
        <w:tc>
          <w:tcPr/>
          <w:p>
            <w:pPr>
              <w:pStyle w:val="Compact"/>
              <w:jc w:val="left"/>
            </w:pPr>
            <w:r>
              <w:t xml:space="preserve">$265.00</w:t>
            </w:r>
          </w:p>
        </w:tc>
        <w:tc>
          <w:tcPr/>
          <w:p>
            <w:pPr>
              <w:pStyle w:val="Compact"/>
              <w:jc w:val="left"/>
            </w:pPr>
            <w:r>
              <w:t xml:space="preserve">$21,200.00</w:t>
            </w:r>
          </w:p>
        </w:tc>
      </w:tr>
      <w:tr>
        <w:tc>
          <w:tcPr/>
          <w:p>
            <w:pPr>
              <w:pStyle w:val="Compact"/>
              <w:jc w:val="left"/>
            </w:pPr>
            <w:r>
              <w:t xml:space="preserve">3.3</w:t>
            </w:r>
          </w:p>
        </w:tc>
        <w:tc>
          <w:tcPr/>
          <w:p>
            <w:pPr>
              <w:pStyle w:val="Compact"/>
              <w:jc w:val="left"/>
            </w:pPr>
            <w:r>
              <w:t xml:space="preserve">Avionics &amp; Flight Control Specialist (Ms. R. Tanaka, P.E.)</w:t>
            </w:r>
          </w:p>
        </w:tc>
        <w:tc>
          <w:tcPr/>
          <w:p>
            <w:pPr>
              <w:pStyle w:val="Compact"/>
              <w:jc w:val="left"/>
            </w:pPr>
            <w:r>
              <w:t xml:space="preserve">60 hrs</w:t>
            </w:r>
          </w:p>
        </w:tc>
        <w:tc>
          <w:tcPr/>
          <w:p>
            <w:pPr>
              <w:pStyle w:val="Compact"/>
              <w:jc w:val="left"/>
            </w:pPr>
            <w:r>
              <w:t xml:space="preserve">$255.00</w:t>
            </w:r>
          </w:p>
        </w:tc>
        <w:tc>
          <w:tcPr/>
          <w:p>
            <w:pPr>
              <w:pStyle w:val="Compact"/>
              <w:jc w:val="left"/>
            </w:pPr>
            <w:r>
              <w:t xml:space="preserve">$15,300.00</w:t>
            </w:r>
          </w:p>
        </w:tc>
      </w:tr>
      <w:tr>
        <w:tc>
          <w:tcPr/>
          <w:p>
            <w:pPr>
              <w:pStyle w:val="Compact"/>
              <w:jc w:val="left"/>
            </w:pPr>
            <w:r>
              <w:t xml:space="preserve">3.4</w:t>
            </w:r>
          </w:p>
        </w:tc>
        <w:tc>
          <w:tcPr/>
          <w:p>
            <w:pPr>
              <w:pStyle w:val="Compact"/>
              <w:jc w:val="left"/>
            </w:pPr>
            <w:r>
              <w:t xml:space="preserve">CFD Simulation &amp; Wind Tunnel Test Coordination</w:t>
            </w:r>
          </w:p>
        </w:tc>
        <w:tc>
          <w:tcPr/>
          <w:p>
            <w:pPr>
              <w:pStyle w:val="Compact"/>
              <w:jc w:val="left"/>
            </w:pPr>
            <w:r>
              <w:t xml:space="preserve">1 package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3.5</w:t>
            </w:r>
          </w:p>
        </w:tc>
        <w:tc>
          <w:tcPr/>
          <w:p>
            <w:pPr>
              <w:pStyle w:val="Compact"/>
              <w:jc w:val="left"/>
            </w:pPr>
            <w:r>
              <w:t xml:space="preserve">FAA Regulatory Compliance &amp; Certification Documentation</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3.6</w:t>
            </w:r>
          </w:p>
        </w:tc>
        <w:tc>
          <w:tcPr/>
          <w:p>
            <w:pPr>
              <w:pStyle w:val="Compact"/>
              <w:jc w:val="left"/>
            </w:pPr>
            <w:r>
              <w:t xml:space="preserve">Project Management, Reporting &amp; Technical Review</w:t>
            </w:r>
          </w:p>
        </w:tc>
        <w:tc>
          <w:tcPr/>
          <w:p>
            <w:pPr>
              <w:pStyle w:val="Compact"/>
              <w:jc w:val="left"/>
            </w:pPr>
            <w:r>
              <w:t xml:space="preserve">40 hrs</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3.7</w:t>
            </w:r>
          </w:p>
        </w:tc>
        <w:tc>
          <w:tcPr/>
          <w:p>
            <w:pPr>
              <w:pStyle w:val="Compact"/>
              <w:jc w:val="left"/>
            </w:pPr>
            <w:r>
              <w:t xml:space="preserve">Travel &amp; On-Site Visits within United States Los Angeles Area</w:t>
            </w:r>
          </w:p>
        </w:tc>
        <w:tc>
          <w:tcPr/>
          <w:p>
            <w:pPr>
              <w:pStyle w:val="Compact"/>
              <w:jc w:val="left"/>
            </w:pPr>
            <w:r>
              <w:t xml:space="preserve">6 visits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3.8</w:t>
            </w:r>
          </w:p>
        </w:tc>
        <w:tc>
          <w:tcPr/>
          <w:p>
            <w:pPr>
              <w:pStyle w:val="Compact"/>
              <w:jc w:val="left"/>
            </w:pPr>
            <w:r>
              <w:t xml:space="preserve">Software Licenses (ANSYS, CATIA, MATLAB) – Project Duration</w:t>
            </w:r>
          </w:p>
        </w:tc>
        <w:tc>
          <w:tcPr/>
          <w:p>
            <w:pPr>
              <w:pStyle w:val="Compact"/>
              <w:jc w:val="left"/>
            </w:pPr>
            <w:r>
              <w:t xml:space="preserve">1 package</w:t>
            </w:r>
          </w:p>
        </w:tc>
        <w:tc>
          <w:tcPr/>
          <w:p>
            <w:pPr>
              <w:pStyle w:val="Compact"/>
              <w:jc w:val="left"/>
            </w:pPr>
            <w:r>
              <w:t xml:space="preserve">$6,200.00</w:t>
            </w:r>
          </w:p>
        </w:tc>
        <w:tc>
          <w:tcPr/>
          <w:p>
            <w:pPr>
              <w:pStyle w:val="Compact"/>
              <w:jc w:val="left"/>
            </w:pPr>
            <w:r>
              <w:t xml:space="preserve">$6,200.00</w:t>
            </w:r>
          </w:p>
        </w:tc>
      </w:tr>
      <w:tr>
        <w:tc>
          <w:tcPr>
            <w:gridSpan w:val="4"/>
          </w:tcPr>
          <w:p>
            <w:pPr>
              <w:pStyle w:val="Compact"/>
              <w:jc w:val="right"/>
            </w:pPr>
            <w:r>
              <w:t xml:space="preserve">Subtotal</w:t>
            </w:r>
          </w:p>
        </w:tc>
        <w:tc>
          <w:tcPr/>
          <w:p>
            <w:pPr>
              <w:pStyle w:val="Compact"/>
              <w:jc w:val="left"/>
            </w:pPr>
            <w:r>
              <w:t xml:space="preserve">$118,900.00</w:t>
            </w:r>
          </w:p>
        </w:tc>
      </w:tr>
      <w:tr>
        <w:tc>
          <w:tcPr>
            <w:gridSpan w:val="4"/>
          </w:tcPr>
          <w:p>
            <w:pPr>
              <w:pStyle w:val="Compact"/>
              <w:jc w:val="right"/>
            </w:pPr>
            <w:r>
              <w:t xml:space="preserve">Applicable Sales Tax (Los Angeles County – 9.5%)</w:t>
            </w:r>
          </w:p>
        </w:tc>
        <w:tc>
          <w:tcPr/>
          <w:p>
            <w:pPr>
              <w:pStyle w:val="Compact"/>
              <w:jc w:val="left"/>
            </w:pPr>
            <w:r>
              <w:t xml:space="preserve">$11,295.50</w:t>
            </w:r>
          </w:p>
        </w:tc>
      </w:tr>
      <w:tr>
        <w:tc>
          <w:tcPr>
            <w:gridSpan w:val="4"/>
          </w:tcPr>
          <w:p>
            <w:pPr>
              <w:pStyle w:val="Compact"/>
              <w:jc w:val="right"/>
            </w:pPr>
            <w:r>
              <w:t xml:space="preserve">TOTAL ESTIMATED COST</w:t>
            </w:r>
          </w:p>
        </w:tc>
        <w:tc>
          <w:tcPr/>
          <w:p>
            <w:pPr>
              <w:pStyle w:val="Compact"/>
              <w:jc w:val="left"/>
            </w:pPr>
            <w:r>
              <w:t xml:space="preserve">$130,195.50</w:t>
            </w:r>
          </w:p>
        </w:tc>
      </w:tr>
    </w:tbl>
    <w:bookmarkEnd w:id="23"/>
    <w:bookmarkStart w:id="24" w:name="assumptions-and-exclusions"/>
    <w:p>
      <w:pPr>
        <w:pStyle w:val="Heading2"/>
      </w:pPr>
      <w:r>
        <w:t xml:space="preserve">4. Assumptions and Exclusions</w:t>
      </w:r>
    </w:p>
    <w:p>
      <w:pPr>
        <w:pStyle w:val="FirstParagraph"/>
      </w:pPr>
      <w:r>
        <w:t xml:space="preserve">This</w:t>
      </w:r>
      <w:r>
        <w:t xml:space="preserve"> </w:t>
      </w:r>
      <w:r>
        <w:t xml:space="preserve">Quotation Estimate</w:t>
      </w:r>
      <w:r>
        <w:t xml:space="preserve"> </w:t>
      </w:r>
      <w:r>
        <w:t xml:space="preserve">assumes that the client will provide all preliminary design data, existing CAD models, and prior test reports within ten (10) business days of contract execution. Costs associated with physical prototyping, full-scale flight testing, and any design changes exceeding fifteen percent (15%) of the original scope are excluded and will be subject to a revised</w:t>
      </w:r>
      <w:r>
        <w:t xml:space="preserve"> </w:t>
      </w:r>
      <w:r>
        <w:t xml:space="preserve">Quotation Estimate</w:t>
      </w:r>
      <w:r>
        <w:t xml:space="preserve"> </w:t>
      </w:r>
      <w:r>
        <w:t xml:space="preserve">issued by the</w:t>
      </w:r>
      <w:r>
        <w:t xml:space="preserve"> </w:t>
      </w:r>
      <w:r>
        <w:t xml:space="preserve">Aerospace Engineer</w:t>
      </w:r>
      <w:r>
        <w:t xml:space="preserve"> </w:t>
      </w:r>
      <w:r>
        <w:t xml:space="preserve">team. All work is subject to the prevailing labor rates in the</w:t>
      </w:r>
      <w:r>
        <w:t xml:space="preserve"> </w:t>
      </w:r>
      <w:r>
        <w:t xml:space="preserve">United States Los Angeles</w:t>
      </w:r>
      <w:r>
        <w:t xml:space="preserve"> </w:t>
      </w:r>
      <w:r>
        <w:t xml:space="preserve">aerospace sector as of the date of this document.</w:t>
      </w:r>
    </w:p>
    <w:bookmarkEnd w:id="24"/>
    <w:bookmarkStart w:id="25" w:name="payment-schedule"/>
    <w:p>
      <w:pPr>
        <w:pStyle w:val="Heading2"/>
      </w:pPr>
      <w:r>
        <w:t xml:space="preserve">5. Payment Schedule</w:t>
      </w:r>
    </w:p>
    <w:p>
      <w:pPr>
        <w:numPr>
          <w:ilvl w:val="0"/>
          <w:numId w:val="1002"/>
        </w:numPr>
        <w:pStyle w:val="Compact"/>
      </w:pPr>
      <w:r>
        <w:rPr>
          <w:bCs/>
          <w:b/>
        </w:rPr>
        <w:t xml:space="preserve">30% Deposit:</w:t>
      </w:r>
      <w:r>
        <w:t xml:space="preserve"> </w:t>
      </w:r>
      <w:r>
        <w:t xml:space="preserve">Due upon execution of this Quotation Estimate as a formal purchase order – $39,058.65</w:t>
      </w:r>
    </w:p>
    <w:p>
      <w:pPr>
        <w:numPr>
          <w:ilvl w:val="0"/>
          <w:numId w:val="1002"/>
        </w:numPr>
        <w:pStyle w:val="Compact"/>
      </w:pPr>
      <w:r>
        <w:rPr>
          <w:bCs/>
          <w:b/>
        </w:rPr>
        <w:t xml:space="preserve">40% Milestone Payment:</w:t>
      </w:r>
      <w:r>
        <w:t xml:space="preserve"> </w:t>
      </w:r>
      <w:r>
        <w:t xml:space="preserve">Due upon completion of structural analysis and propulsion integration deliverables – $52,078.20</w:t>
      </w:r>
    </w:p>
    <w:p>
      <w:pPr>
        <w:numPr>
          <w:ilvl w:val="0"/>
          <w:numId w:val="1002"/>
        </w:numPr>
        <w:pStyle w:val="Compact"/>
      </w:pPr>
      <w:r>
        <w:rPr>
          <w:bCs/>
          <w:b/>
        </w:rPr>
        <w:t xml:space="preserve">30% Final Payment:</w:t>
      </w:r>
      <w:r>
        <w:t xml:space="preserve"> </w:t>
      </w:r>
      <w:r>
        <w:t xml:space="preserve">Due upon delivery of the final engineering report and regulatory compliance package – $39,058.65</w:t>
      </w:r>
    </w:p>
    <w:p>
      <w:pPr>
        <w:pStyle w:val="FirstParagraph"/>
      </w:pPr>
      <w:r>
        <w:t xml:space="preserve">All payments are due within fifteen (15) calendar days of invoice date. Late payments shall accrue interest at a rate of 1.5% per month, in accordance with California Commercial Code Section 2202, applicable to all commercial transactions in the</w:t>
      </w:r>
      <w:r>
        <w:t xml:space="preserve"> </w:t>
      </w:r>
      <w:r>
        <w:t xml:space="preserve">United States Los Angeles</w:t>
      </w:r>
      <w:r>
        <w:t xml:space="preserve"> </w:t>
      </w:r>
      <w:r>
        <w:t xml:space="preserve">jurisdiction.</w:t>
      </w:r>
    </w:p>
    <w:bookmarkEnd w:id="25"/>
    <w:bookmarkStart w:id="26" w:name="project-timeline"/>
    <w:p>
      <w:pPr>
        <w:pStyle w:val="Heading2"/>
      </w:pPr>
      <w:r>
        <w:t xml:space="preserve">6. Project Timeline</w:t>
      </w:r>
    </w:p>
    <w:p>
      <w:pPr>
        <w:pStyle w:val="FirstParagraph"/>
      </w:pPr>
      <w:r>
        <w:t xml:space="preserve">The estimated duration of the</w:t>
      </w:r>
      <w:r>
        <w:t xml:space="preserve"> </w:t>
      </w:r>
      <w:r>
        <w:t xml:space="preserve">Aerospace Engineer</w:t>
      </w:r>
      <w:r>
        <w:t xml:space="preserve"> </w:t>
      </w:r>
      <w:r>
        <w:t xml:space="preserve">engagement is twenty-two (22) weeks from the date of contract execution, with a target completion date of November 14, 2025. All milestones will be tracked via a shared project management platform, and bi-weekly progress meetings will be held at the client's facility or our</w:t>
      </w:r>
      <w:r>
        <w:t xml:space="preserve"> </w:t>
      </w:r>
      <w:r>
        <w:t xml:space="preserve">United States Los Angeles</w:t>
      </w:r>
      <w:r>
        <w:t xml:space="preserve"> </w:t>
      </w:r>
      <w:r>
        <w:t xml:space="preserve">office, at the client's discretion.</w:t>
      </w:r>
    </w:p>
    <w:bookmarkEnd w:id="26"/>
    <w:bookmarkStart w:id="27" w:name="terms-and-conditions"/>
    <w:p>
      <w:pPr>
        <w:pStyle w:val="Heading2"/>
      </w:pPr>
      <w:r>
        <w:t xml:space="preserve">7.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the expiration date, all rates and availability must be reconfirmed in writing.</w:t>
      </w:r>
    </w:p>
    <w:p>
      <w:pPr>
        <w:numPr>
          <w:ilvl w:val="0"/>
          <w:numId w:val="1003"/>
        </w:numPr>
        <w:pStyle w:val="Compact"/>
      </w:pPr>
      <w:r>
        <w:t xml:space="preserve">All intellectual property developed specifically for the client under this engagement shall be assigned to the client upon full payment, as detailed in a separate Intellectual Property Assignment Agreement.</w:t>
      </w:r>
    </w:p>
    <w:p>
      <w:pPr>
        <w:numPr>
          <w:ilvl w:val="0"/>
          <w:numId w:val="1003"/>
        </w:numPr>
        <w:pStyle w:val="Compact"/>
      </w:pPr>
      <w:r>
        <w:t xml:space="preserve">Meridian Aerospace Consulting Group, LLC shall maintain professional liability insurance with a minimum coverage of $5,000,000 per occurrence, as required for aerospace engineering services in the State of California.</w:t>
      </w:r>
    </w:p>
    <w:p>
      <w:pPr>
        <w:numPr>
          <w:ilvl w:val="0"/>
          <w:numId w:val="1003"/>
        </w:numPr>
        <w:pStyle w:val="Compact"/>
      </w:pPr>
      <w:r>
        <w:t xml:space="preserve">Disputes arising from this engagement shall be resolved through binding arbitration in Los Angeles County,</w:t>
      </w:r>
      <w:r>
        <w:t xml:space="preserve"> </w:t>
      </w:r>
      <w:r>
        <w:t xml:space="preserve">United States</w:t>
      </w:r>
      <w:r>
        <w:t xml:space="preserve">, in accordance with the rules of the American Arbitration Association.</w:t>
      </w:r>
    </w:p>
    <w:p>
      <w:pPr>
        <w:numPr>
          <w:ilvl w:val="0"/>
          <w:numId w:val="1003"/>
        </w:numPr>
        <w:pStyle w:val="Compact"/>
      </w:pPr>
      <w:r>
        <w:t xml:space="preserve">This Quotation Estimate is governed by the laws of the State of California and the federal laws of the United States of America.</w:t>
      </w:r>
    </w:p>
    <w:bookmarkEnd w:id="27"/>
    <w:bookmarkStart w:id="28" w:name="acceptance-and-authorization"/>
    <w:p>
      <w:pPr>
        <w:pStyle w:val="Heading2"/>
      </w:pPr>
      <w:r>
        <w:t xml:space="preserve">8.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Aerospace Engineer</w:t>
      </w:r>
      <w:r>
        <w:t xml:space="preserve"> </w:t>
      </w:r>
      <w:r>
        <w:t xml:space="preserve">services in</w:t>
      </w:r>
      <w:r>
        <w:t xml:space="preserve"> </w:t>
      </w:r>
      <w:r>
        <w:t xml:space="preserve">United States Los Angeles</w:t>
      </w:r>
      <w:r>
        <w:t xml:space="preserve"> </w:t>
      </w:r>
      <w:r>
        <w:t xml:space="preserve">and authorizes Meridian Aerospace Consulting Group, LLC to proceed with the scope of work as described herein. This signature converts this Quotation Estimate into a binding service agreement subject to the terms and conditions stated above.</w:t>
      </w:r>
    </w:p>
    <w:p>
      <w:pPr>
        <w:pStyle w:val="BodyText"/>
      </w:pPr>
      <w:r>
        <w:t xml:space="preserve">Client Authorized Signature &amp; Date</w:t>
      </w:r>
    </w:p>
    <w:p>
      <w:pPr>
        <w:pStyle w:val="BodyText"/>
      </w:pPr>
      <w:r>
        <w:t xml:space="preserve">Meridian Aerospace Consulting Group, LLC – Authorized Representative</w:t>
      </w:r>
    </w:p>
    <w:p>
      <w:pPr>
        <w:pStyle w:val="BodyText"/>
      </w:pPr>
      <w:r>
        <w:t xml:space="preserve">Meridian Aerospace Consulting Group, LLC • 4200 Century Boulevard, Suite 310, Los Angeles, CA 90045, United States</w:t>
      </w:r>
    </w:p>
    <w:p>
      <w:pPr>
        <w:pStyle w:val="BodyText"/>
      </w:pPr>
      <w:r>
        <w:t xml:space="preserve">Quotation Estimate No. QTE-2025-LA-0487 • Page 1 of 1 • This document is confidential and intended solely for the named recipient.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United States Los Angeles</dc:title>
  <dc:creator/>
  <dc:language>en</dc:language>
  <cp:keywords/>
  <dcterms:created xsi:type="dcterms:W3CDTF">2026-10-10T01:59:16Z</dcterms:created>
  <dcterms:modified xsi:type="dcterms:W3CDTF">2026-10-10T01:59:16Z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