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quotation-estimate"/>
    <w:p>
      <w:pPr>
        <w:pStyle w:val="Heading1"/>
      </w:pPr>
      <w:r>
        <w:t xml:space="preserve">QUOTATION ESTIMATE</w:t>
      </w:r>
    </w:p>
    <w:p>
      <w:pPr>
        <w:pStyle w:val="FirstParagraph"/>
      </w:pPr>
      <w:r>
        <w:t xml:space="preserve">Aerospace Engineer Professional Services</w:t>
      </w:r>
    </w:p>
    <w:p>
      <w:pPr>
        <w:pStyle w:val="BodyText"/>
      </w:pPr>
      <w:r>
        <w:t xml:space="preserve">Uzbekistan Tashkent | Central Asia Region</w:t>
      </w:r>
    </w:p>
    <w:bookmarkEnd w:id="20"/>
    <w:p>
      <w:pPr>
        <w:pStyle w:val="BodyText"/>
      </w:pPr>
      <w:r>
        <w:rPr>
          <w:bCs/>
          <w:b/>
        </w:rPr>
        <w:t xml:space="preserve">Quotation No.:</w:t>
      </w:r>
      <w:r>
        <w:t xml:space="preserve"> </w:t>
      </w:r>
      <w:r>
        <w:t xml:space="preserve">QE-2025-TSK-0472</w:t>
      </w:r>
      <w:r>
        <w:br/>
      </w:r>
      <w:r>
        <w:rPr>
          <w:bCs/>
          <w:b/>
        </w:rPr>
        <w:t xml:space="preserve">Date Issued:</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By:</w:t>
      </w:r>
      <w:r>
        <w:t xml:space="preserve"> </w:t>
      </w:r>
      <w:r>
        <w:t xml:space="preserve">Altair Aerospace Consulting LLC</w:t>
      </w:r>
      <w:r>
        <w:br/>
      </w:r>
      <w:r>
        <w:rPr>
          <w:bCs/>
          <w:b/>
        </w:rPr>
        <w:t xml:space="preserve">Location:</w:t>
      </w:r>
      <w:r>
        <w:t xml:space="preserve"> </w:t>
      </w:r>
      <w:r>
        <w:t xml:space="preserve">Tashkent, Uzbekistan</w:t>
      </w:r>
      <w:r>
        <w:br/>
      </w:r>
      <w:r>
        <w:rPr>
          <w:bCs/>
          <w:b/>
        </w:rPr>
        <w:t xml:space="preserve">Contact:</w:t>
      </w:r>
      <w:r>
        <w:t xml:space="preserve"> </w:t>
      </w:r>
      <w:r>
        <w:t xml:space="preserve">info@altairaero.uz</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specifically for the provision of specialized</w:t>
      </w:r>
      <w:r>
        <w:t xml:space="preserve"> </w:t>
      </w:r>
      <w:r>
        <w:t xml:space="preserve">Aerospace Engineer</w:t>
      </w:r>
      <w:r>
        <w:t xml:space="preserve"> </w:t>
      </w:r>
      <w:r>
        <w:t xml:space="preserve">consulting and technical services to be delivered within the city of</w:t>
      </w:r>
      <w:r>
        <w:t xml:space="preserve"> </w:t>
      </w:r>
      <w:r>
        <w:t xml:space="preserve">Uzbekistan Tashkent</w:t>
      </w:r>
      <w:r>
        <w:t xml:space="preserve"> </w:t>
      </w:r>
      <w:r>
        <w:t xml:space="preserve">and its surrounding industrial zones. The purpose of this formal quotation is to outline the scope of work, professional deliverables, associated costs, and contractual terms governing the engagement of a certified Aerospace Engineer to support aerospace manufacturing, design validation, and regulatory compliance activities in the Tashkent metropolitan area.</w:t>
      </w:r>
    </w:p>
    <w:p>
      <w:pPr>
        <w:pStyle w:val="BodyText"/>
      </w:pPr>
      <w:r>
        <w:t xml:space="preserve">Altair Aerospace Consulting LLC, operating under the commercial registration of the Republic of Uzbekistan, is pleased to submit this Quotation Estimate in response to the client's request for expert aerospace engineering support. All services described herein will be performed in full compliance with the national aviation regulations of Uzbekistan, the standards of the International Civil Aviation Organization (ICAO), and applicable ISO certification frameworks recognized in Tashkent's industrial sector.</w:t>
      </w:r>
    </w:p>
    <w:bookmarkEnd w:id="21"/>
    <w:bookmarkStart w:id="22" w:name="X6967cf165bb62b579ddbfcbe69bd615a713ce7a"/>
    <w:p>
      <w:pPr>
        <w:pStyle w:val="Heading2"/>
      </w:pPr>
      <w:r>
        <w:t xml:space="preserve">2. Scope of Work – Aerospace Engineer Services in Uzbekistan Tashkent</w:t>
      </w:r>
    </w:p>
    <w:p>
      <w:pPr>
        <w:pStyle w:val="FirstParagraph"/>
      </w:pPr>
      <w:r>
        <w:t xml:space="preserve">The Aerospace Engineer engaged under this Quotation Estimate will provide the following professional services to the client's facility located in the Tashkent Industrial Park, Chilonzor District, Uzbekistan: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Duration</w:t>
            </w:r>
          </w:p>
        </w:tc>
      </w:tr>
      <w:tr>
        <w:tc>
          <w:tcPr/>
          <w:p>
            <w:pPr>
              <w:pStyle w:val="Compact"/>
              <w:jc w:val="left"/>
            </w:pPr>
            <w:r>
              <w:t xml:space="preserve">Aerodynamic Design Review</w:t>
            </w:r>
          </w:p>
        </w:tc>
        <w:tc>
          <w:tcPr/>
          <w:p>
            <w:pPr>
              <w:pStyle w:val="Compact"/>
              <w:jc w:val="left"/>
            </w:pPr>
            <w:r>
              <w:t xml:space="preserve">Comprehensive CFD analysis and aerodynamic optimization of prototype airframe components</w:t>
            </w:r>
          </w:p>
        </w:tc>
        <w:tc>
          <w:tcPr/>
          <w:p>
            <w:pPr>
              <w:pStyle w:val="Compact"/>
              <w:jc w:val="left"/>
            </w:pPr>
            <w:r>
              <w:t xml:space="preserve">6 weeks</w:t>
            </w:r>
          </w:p>
        </w:tc>
      </w:tr>
      <w:tr>
        <w:tc>
          <w:tcPr/>
          <w:p>
            <w:pPr>
              <w:pStyle w:val="Compact"/>
              <w:jc w:val="left"/>
            </w:pPr>
            <w:r>
              <w:t xml:space="preserve">Structural Integrity Assessment</w:t>
            </w:r>
          </w:p>
        </w:tc>
        <w:tc>
          <w:tcPr/>
          <w:p>
            <w:pPr>
              <w:pStyle w:val="Compact"/>
              <w:jc w:val="left"/>
            </w:pPr>
            <w:r>
              <w:t xml:space="preserve">Finite element analysis (FEA) of composite and metallic structural assemblies per FAR/CS-25 standards</w:t>
            </w:r>
          </w:p>
        </w:tc>
        <w:tc>
          <w:tcPr/>
          <w:p>
            <w:pPr>
              <w:pStyle w:val="Compact"/>
              <w:jc w:val="left"/>
            </w:pPr>
            <w:r>
              <w:t xml:space="preserve">4 weeks</w:t>
            </w:r>
          </w:p>
        </w:tc>
      </w:tr>
      <w:tr>
        <w:tc>
          <w:tcPr/>
          <w:p>
            <w:pPr>
              <w:pStyle w:val="Compact"/>
              <w:jc w:val="left"/>
            </w:pPr>
            <w:r>
              <w:t xml:space="preserve">Propulsion System Consultation</w:t>
            </w:r>
          </w:p>
        </w:tc>
        <w:tc>
          <w:tcPr/>
          <w:p>
            <w:pPr>
              <w:pStyle w:val="Compact"/>
              <w:jc w:val="left"/>
            </w:pPr>
            <w:r>
              <w:t xml:space="preserve">Thermodynamic cycle analysis and engine performance validation for turboprop applications</w:t>
            </w:r>
          </w:p>
        </w:tc>
        <w:tc>
          <w:tcPr/>
          <w:p>
            <w:pPr>
              <w:pStyle w:val="Compact"/>
              <w:jc w:val="left"/>
            </w:pPr>
            <w:r>
              <w:t xml:space="preserve">3 weeks</w:t>
            </w:r>
          </w:p>
        </w:tc>
      </w:tr>
      <w:tr>
        <w:tc>
          <w:tcPr/>
          <w:p>
            <w:pPr>
              <w:pStyle w:val="Compact"/>
              <w:jc w:val="left"/>
            </w:pPr>
            <w:r>
              <w:t xml:space="preserve">Regulatory Compliance Audit</w:t>
            </w:r>
          </w:p>
        </w:tc>
        <w:tc>
          <w:tcPr/>
          <w:p>
            <w:pPr>
              <w:pStyle w:val="Compact"/>
              <w:jc w:val="left"/>
            </w:pPr>
            <w:r>
              <w:t xml:space="preserve">Full audit of manufacturing processes against Uzbekistan Civil Aviation Authority (UCA) requirements</w:t>
            </w:r>
          </w:p>
        </w:tc>
        <w:tc>
          <w:tcPr/>
          <w:p>
            <w:pPr>
              <w:pStyle w:val="Compact"/>
              <w:jc w:val="left"/>
            </w:pPr>
            <w:r>
              <w:t xml:space="preserve">2 weeks</w:t>
            </w:r>
          </w:p>
        </w:tc>
      </w:tr>
      <w:tr>
        <w:tc>
          <w:tcPr/>
          <w:p>
            <w:pPr>
              <w:pStyle w:val="Compact"/>
              <w:jc w:val="left"/>
            </w:pPr>
            <w:r>
              <w:t xml:space="preserve">Technical Training Program</w:t>
            </w:r>
          </w:p>
        </w:tc>
        <w:tc>
          <w:tcPr/>
          <w:p>
            <w:pPr>
              <w:pStyle w:val="Compact"/>
              <w:jc w:val="left"/>
            </w:pPr>
            <w:r>
              <w:t xml:space="preserve">On-site training for 12 local engineers on aerospace design methodologies and quality assurance</w:t>
            </w:r>
          </w:p>
        </w:tc>
        <w:tc>
          <w:tcPr/>
          <w:p>
            <w:pPr>
              <w:pStyle w:val="Compact"/>
              <w:jc w:val="left"/>
            </w:pPr>
            <w:r>
              <w:t xml:space="preserve">5 days</w:t>
            </w:r>
          </w:p>
        </w:tc>
      </w:tr>
      <w:tr>
        <w:tc>
          <w:tcPr/>
          <w:p>
            <w:pPr>
              <w:pStyle w:val="Compact"/>
              <w:jc w:val="left"/>
            </w:pPr>
            <w:r>
              <w:t xml:space="preserve">Project Documentation</w:t>
            </w:r>
          </w:p>
        </w:tc>
        <w:tc>
          <w:tcPr/>
          <w:p>
            <w:pPr>
              <w:pStyle w:val="Compact"/>
              <w:jc w:val="left"/>
            </w:pPr>
            <w:r>
              <w:t xml:space="preserve">Preparation of final engineering reports, calculation packages, and certification dossiers</w:t>
            </w:r>
          </w:p>
        </w:tc>
        <w:tc>
          <w:tcPr/>
          <w:p>
            <w:pPr>
              <w:pStyle w:val="Compact"/>
              <w:jc w:val="left"/>
            </w:pPr>
            <w:r>
              <w:t xml:space="preserve">2 weeks</w:t>
            </w:r>
          </w:p>
        </w:tc>
      </w:tr>
    </w:tbl>
    <w:bookmarkEnd w:id="22"/>
    <w:bookmarkStart w:id="23" w:name="Xacf8b12239adea75b6f5c5fe9d6be96bc84f3e1"/>
    <w:p>
      <w:pPr>
        <w:pStyle w:val="Heading2"/>
      </w:pPr>
      <w:r>
        <w:t xml:space="preserve">3. Financial Breakdown of the Quotation Estimate</w:t>
      </w:r>
    </w:p>
    <w:p>
      <w:pPr>
        <w:pStyle w:val="FirstParagraph"/>
      </w:pPr>
      <w:r>
        <w:t xml:space="preserve">The following cost structure constitutes the complete financial component of this Quotation Estimate for Aerospace Engineer services in Uzbekistan Tashkent. All monetary values are expressed in US Dollars (USD) and are subject to the exchange rate prevailing at the National Bank of Uzbekistan on the date of contract execution.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Line Item</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Amount (USD)</w:t>
            </w:r>
          </w:p>
        </w:tc>
      </w:tr>
      <w:tr>
        <w:tc>
          <w:tcPr/>
          <w:p>
            <w:pPr>
              <w:pStyle w:val="Compact"/>
              <w:jc w:val="left"/>
            </w:pPr>
            <w:r>
              <w:t xml:space="preserve">Aerospace Engineer – Senior Consultant (per day)</w:t>
            </w:r>
          </w:p>
        </w:tc>
        <w:tc>
          <w:tcPr/>
          <w:p>
            <w:pPr>
              <w:pStyle w:val="Compact"/>
              <w:jc w:val="left"/>
            </w:pPr>
            <w:r>
              <w:t xml:space="preserve">1,850.00</w:t>
            </w:r>
          </w:p>
        </w:tc>
        <w:tc>
          <w:tcPr/>
          <w:p>
            <w:pPr>
              <w:pStyle w:val="Compact"/>
              <w:jc w:val="left"/>
            </w:pPr>
            <w:r>
              <w:t xml:space="preserve">42 days</w:t>
            </w:r>
          </w:p>
        </w:tc>
        <w:tc>
          <w:tcPr/>
          <w:p>
            <w:pPr>
              <w:pStyle w:val="Compact"/>
              <w:jc w:val="left"/>
            </w:pPr>
            <w:r>
              <w:t xml:space="preserve">77,700.00</w:t>
            </w:r>
          </w:p>
        </w:tc>
      </w:tr>
      <w:tr>
        <w:tc>
          <w:tcPr/>
          <w:p>
            <w:pPr>
              <w:pStyle w:val="Compact"/>
              <w:jc w:val="left"/>
            </w:pPr>
            <w:r>
              <w:t xml:space="preserve">Aerospace Engineer – Junior Analyst (per day)</w:t>
            </w:r>
          </w:p>
        </w:tc>
        <w:tc>
          <w:tcPr/>
          <w:p>
            <w:pPr>
              <w:pStyle w:val="Compact"/>
              <w:jc w:val="left"/>
            </w:pPr>
            <w:r>
              <w:t xml:space="preserve">950.00</w:t>
            </w:r>
          </w:p>
        </w:tc>
        <w:tc>
          <w:tcPr/>
          <w:p>
            <w:pPr>
              <w:pStyle w:val="Compact"/>
              <w:jc w:val="left"/>
            </w:pPr>
            <w:r>
              <w:t xml:space="preserve">28 days</w:t>
            </w:r>
          </w:p>
        </w:tc>
        <w:tc>
          <w:tcPr/>
          <w:p>
            <w:pPr>
              <w:pStyle w:val="Compact"/>
              <w:jc w:val="left"/>
            </w:pPr>
            <w:r>
              <w:t xml:space="preserve">26,600.00</w:t>
            </w:r>
          </w:p>
        </w:tc>
      </w:tr>
      <w:tr>
        <w:tc>
          <w:tcPr/>
          <w:p>
            <w:pPr>
              <w:pStyle w:val="Compact"/>
              <w:jc w:val="left"/>
            </w:pPr>
            <w:r>
              <w:t xml:space="preserve">CFD / FEA Software License (temporary)</w:t>
            </w:r>
          </w:p>
        </w:tc>
        <w:tc>
          <w:tcPr/>
          <w:p>
            <w:pPr>
              <w:pStyle w:val="Compact"/>
              <w:jc w:val="left"/>
            </w:pPr>
            <w:r>
              <w:t xml:space="preserve">4,200.00</w:t>
            </w:r>
          </w:p>
        </w:tc>
        <w:tc>
          <w:tcPr/>
          <w:p>
            <w:pPr>
              <w:pStyle w:val="Compact"/>
              <w:jc w:val="left"/>
            </w:pPr>
            <w:r>
              <w:t xml:space="preserve">1 set</w:t>
            </w:r>
          </w:p>
        </w:tc>
        <w:tc>
          <w:tcPr/>
          <w:p>
            <w:pPr>
              <w:pStyle w:val="Compact"/>
              <w:jc w:val="left"/>
            </w:pPr>
            <w:r>
              <w:t xml:space="preserve">4,200.00</w:t>
            </w:r>
          </w:p>
        </w:tc>
      </w:tr>
      <w:tr>
        <w:tc>
          <w:tcPr/>
          <w:p>
            <w:pPr>
              <w:pStyle w:val="Compact"/>
              <w:jc w:val="left"/>
            </w:pPr>
            <w:r>
              <w:t xml:space="preserve">Travel and Accommodation (Tashkent)</w:t>
            </w:r>
          </w:p>
        </w:tc>
        <w:tc>
          <w:tcPr/>
          <w:p>
            <w:pPr>
              <w:pStyle w:val="Compact"/>
              <w:jc w:val="left"/>
            </w:pPr>
            <w:r>
              <w:t xml:space="preserve">—</w:t>
            </w:r>
          </w:p>
        </w:tc>
        <w:tc>
          <w:tcPr/>
          <w:p>
            <w:pPr>
              <w:pStyle w:val="Compact"/>
              <w:jc w:val="left"/>
            </w:pPr>
            <w:r>
              <w:t xml:space="preserve">—</w:t>
            </w:r>
          </w:p>
        </w:tc>
        <w:tc>
          <w:tcPr/>
          <w:p>
            <w:pPr>
              <w:pStyle w:val="Compact"/>
              <w:jc w:val="left"/>
            </w:pPr>
            <w:r>
              <w:t xml:space="preserve">8,500.00</w:t>
            </w:r>
          </w:p>
        </w:tc>
      </w:tr>
      <w:tr>
        <w:tc>
          <w:tcPr/>
          <w:p>
            <w:pPr>
              <w:pStyle w:val="Compact"/>
              <w:jc w:val="left"/>
            </w:pPr>
            <w:r>
              <w:t xml:space="preserve">Technical Documentation and Reporting</w:t>
            </w:r>
          </w:p>
        </w:tc>
        <w:tc>
          <w:tcPr/>
          <w:p>
            <w:pPr>
              <w:pStyle w:val="Compact"/>
              <w:jc w:val="left"/>
            </w:pPr>
            <w:r>
              <w:t xml:space="preserve">—</w:t>
            </w:r>
          </w:p>
        </w:tc>
        <w:tc>
          <w:tcPr/>
          <w:p>
            <w:pPr>
              <w:pStyle w:val="Compact"/>
              <w:jc w:val="left"/>
            </w:pPr>
            <w:r>
              <w:t xml:space="preserve">—</w:t>
            </w:r>
          </w:p>
        </w:tc>
        <w:tc>
          <w:tcPr/>
          <w:p>
            <w:pPr>
              <w:pStyle w:val="Compact"/>
              <w:jc w:val="left"/>
            </w:pPr>
            <w:r>
              <w:t xml:space="preserve">6,000.00</w:t>
            </w:r>
          </w:p>
        </w:tc>
      </w:tr>
      <w:tr>
        <w:tc>
          <w:tcPr/>
          <w:p>
            <w:pPr>
              <w:pStyle w:val="Compact"/>
              <w:jc w:val="left"/>
            </w:pPr>
            <w:r>
              <w:t xml:space="preserve">On-site Training Program (materials + delivery)</w:t>
            </w:r>
          </w:p>
        </w:tc>
        <w:tc>
          <w:tcPr/>
          <w:p>
            <w:pPr>
              <w:pStyle w:val="Compact"/>
              <w:jc w:val="left"/>
            </w:pPr>
            <w:r>
              <w:t xml:space="preserve">—</w:t>
            </w:r>
          </w:p>
        </w:tc>
        <w:tc>
          <w:tcPr/>
          <w:p>
            <w:pPr>
              <w:pStyle w:val="Compact"/>
              <w:jc w:val="left"/>
            </w:pPr>
            <w:r>
              <w:t xml:space="preserve">—</w:t>
            </w:r>
          </w:p>
        </w:tc>
        <w:tc>
          <w:tcPr/>
          <w:p>
            <w:pPr>
              <w:pStyle w:val="Compact"/>
              <w:jc w:val="left"/>
            </w:pPr>
            <w:r>
              <w:t xml:space="preserve">12,000.00</w:t>
            </w:r>
          </w:p>
        </w:tc>
      </w:tr>
      <w:tr>
        <w:tc>
          <w:tcPr/>
          <w:p>
            <w:pPr>
              <w:pStyle w:val="Compact"/>
              <w:jc w:val="left"/>
            </w:pPr>
            <w:r>
              <w:t xml:space="preserve">Regulatory Filing Fees (UCA, Tashkent)</w:t>
            </w:r>
          </w:p>
        </w:tc>
        <w:tc>
          <w:tcPr/>
          <w:p>
            <w:pPr>
              <w:pStyle w:val="Compact"/>
              <w:jc w:val="left"/>
            </w:pPr>
            <w:r>
              <w:t xml:space="preserve">—</w:t>
            </w:r>
          </w:p>
        </w:tc>
        <w:tc>
          <w:tcPr/>
          <w:p>
            <w:pPr>
              <w:pStyle w:val="Compact"/>
              <w:jc w:val="left"/>
            </w:pPr>
            <w:r>
              <w:t xml:space="preserve">—</w:t>
            </w:r>
          </w:p>
        </w:tc>
        <w:tc>
          <w:tcPr/>
          <w:p>
            <w:pPr>
              <w:pStyle w:val="Compact"/>
              <w:jc w:val="left"/>
            </w:pPr>
            <w:r>
              <w:t xml:space="preserve">3,500.00</w:t>
            </w:r>
          </w:p>
        </w:tc>
      </w:tr>
      <w:tr>
        <w:tc>
          <w:tcPr>
            <w:gridSpan w:val="3"/>
          </w:tcPr>
          <w:p>
            <w:pPr>
              <w:pStyle w:val="Compact"/>
              <w:jc w:val="left"/>
            </w:pPr>
            <w:r>
              <w:t xml:space="preserve">Subtotal</w:t>
            </w:r>
          </w:p>
        </w:tc>
        <w:tc>
          <w:tcPr/>
          <w:p>
            <w:pPr>
              <w:pStyle w:val="Compact"/>
              <w:jc w:val="left"/>
            </w:pPr>
            <w:r>
              <w:t xml:space="preserve">138,500.00</w:t>
            </w:r>
          </w:p>
        </w:tc>
      </w:tr>
      <w:tr>
        <w:tc>
          <w:tcPr>
            <w:gridSpan w:val="3"/>
          </w:tcPr>
          <w:p>
            <w:pPr>
              <w:pStyle w:val="Compact"/>
              <w:jc w:val="left"/>
            </w:pPr>
            <w:r>
              <w:t xml:space="preserve">VAT (12% – Uzbekistan)</w:t>
            </w:r>
          </w:p>
        </w:tc>
        <w:tc>
          <w:tcPr/>
          <w:p>
            <w:pPr>
              <w:pStyle w:val="Compact"/>
              <w:jc w:val="left"/>
            </w:pPr>
            <w:r>
              <w:t xml:space="preserve">16,620.00</w:t>
            </w:r>
          </w:p>
        </w:tc>
      </w:tr>
      <w:tr>
        <w:tc>
          <w:tcPr>
            <w:gridSpan w:val="3"/>
          </w:tcPr>
          <w:p>
            <w:pPr>
              <w:pStyle w:val="Compact"/>
              <w:jc w:val="left"/>
            </w:pPr>
            <w:r>
              <w:rPr>
                <w:bCs/>
                <w:b/>
              </w:rPr>
              <w:t xml:space="preserve">TOTAL QUOTATION ESTIMATE</w:t>
            </w:r>
          </w:p>
        </w:tc>
        <w:tc>
          <w:tcPr/>
          <w:p>
            <w:pPr>
              <w:pStyle w:val="Compact"/>
              <w:jc w:val="left"/>
            </w:pPr>
            <w:r>
              <w:rPr>
                <w:bCs/>
                <w:b/>
              </w:rPr>
              <w:t xml:space="preserve">155,120.00</w:t>
            </w:r>
          </w:p>
        </w:tc>
      </w:tr>
    </w:tbl>
    <w:bookmarkEnd w:id="23"/>
    <w:bookmarkStart w:id="24" w:name="payment-terms-and-schedule"/>
    <w:p>
      <w:pPr>
        <w:pStyle w:val="Heading2"/>
      </w:pPr>
      <w:r>
        <w:t xml:space="preserve">4. Payment Terms and Schedule</w:t>
      </w:r>
    </w:p>
    <w:p>
      <w:pPr>
        <w:pStyle w:val="FirstParagraph"/>
      </w:pPr>
      <w:r>
        <w:t xml:space="preserve">Payment for the services outlined in this Quotation Estimate shall be made in three installments: 30% upon contract signing, 40% upon completion of the mid-project structural and aerodynamic deliverables, and the remaining 30% upon final acceptance of all documentation by the client's quality assurance team in Tashkent. Payments shall be transferred via international wire transfer to the designated account of Altair Aerospace Consulting LLC, registered in Tashkent, Uzbekistan. Late payments shall accrue interest at a rate of 1.5% per month as stipulated under the Civil Code of the Republic of Uzbekistan.</w:t>
      </w:r>
    </w:p>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a period of ninety (90) calendar days from the date of issue. Beyond this period, all rates and terms are subject to revision.</w:t>
      </w:r>
    </w:p>
    <w:p>
      <w:pPr>
        <w:numPr>
          <w:ilvl w:val="0"/>
          <w:numId w:val="1001"/>
        </w:numPr>
        <w:pStyle w:val="Compact"/>
      </w:pPr>
      <w:r>
        <w:t xml:space="preserve">The Aerospace Engineer assigned to this project shall hold a minimum of a Master's degree in Aerospace Engineering and a minimum of ten (10) years of professional experience in aircraft or spacecraft design.</w:t>
      </w:r>
    </w:p>
    <w:p>
      <w:pPr>
        <w:numPr>
          <w:ilvl w:val="0"/>
          <w:numId w:val="1001"/>
        </w:numPr>
        <w:pStyle w:val="Compact"/>
      </w:pPr>
      <w:r>
        <w:t xml:space="preserve">All work performed in Uzbekistan Tashkent shall comply with local labor laws, tax obligations, and the regulations of the Uzbekistan Civil Aviation Authority.</w:t>
      </w:r>
    </w:p>
    <w:p>
      <w:pPr>
        <w:numPr>
          <w:ilvl w:val="0"/>
          <w:numId w:val="1001"/>
        </w:numPr>
        <w:pStyle w:val="Compact"/>
      </w:pPr>
      <w:r>
        <w:t xml:space="preserve">Intellectual property generated during the course of this engagement shall be jointly owned by the client and Altair Aerospace Consulting LLC, as further detailed in the separate IP Addendum.</w:t>
      </w:r>
    </w:p>
    <w:p>
      <w:pPr>
        <w:numPr>
          <w:ilvl w:val="0"/>
          <w:numId w:val="1001"/>
        </w:numPr>
        <w:pStyle w:val="Compact"/>
      </w:pPr>
      <w:r>
        <w:t xml:space="preserve">Confidentiality obligations shall survive the termination of this contract for a period of five (5) years.</w:t>
      </w:r>
    </w:p>
    <w:p>
      <w:pPr>
        <w:numPr>
          <w:ilvl w:val="0"/>
          <w:numId w:val="1001"/>
        </w:numPr>
        <w:pStyle w:val="Compact"/>
      </w:pPr>
      <w:r>
        <w:t xml:space="preserve">Force majeure events, including but not limited to natural disasters, government sanctions, or pandemics affecting operations in Tashkent, shall relieve both parties from performance obligations during the affected period.</w:t>
      </w:r>
    </w:p>
    <w:p>
      <w:pPr>
        <w:numPr>
          <w:ilvl w:val="0"/>
          <w:numId w:val="1001"/>
        </w:numPr>
        <w:pStyle w:val="Compact"/>
      </w:pPr>
      <w:r>
        <w:t xml:space="preserve">Any disputes arising from this Quotation Estimate shall be resolved through arbitration in Tashkent, Uzbekistan, in accordance with the rules of the Tashkent International Arbitration Center.</w:t>
      </w:r>
    </w:p>
    <w:p>
      <w:pPr>
        <w:numPr>
          <w:ilvl w:val="0"/>
          <w:numId w:val="1001"/>
        </w:numPr>
        <w:pStyle w:val="Compact"/>
      </w:pPr>
      <w:r>
        <w:t xml:space="preserve">This Quotation Estimate does not constitute a binding contract until both parties have executed the formal Service Agreement referencing this document.</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the terms set forth in this Quotation Estimate for Aerospace Engineer services in Uzbekistan Tashkent. This document, once countersigned, shall serve as the foundational reference for the subsequent execution of the master Service Agreement.</w:t>
      </w:r>
    </w:p>
    <w:bookmarkEnd w:id="26"/>
    <w:p>
      <w:pPr>
        <w:pStyle w:val="BodyText"/>
      </w:pPr>
      <w:r>
        <w:rPr>
          <w:bCs/>
          <w:b/>
        </w:rPr>
        <w:t xml:space="preserve">For Altair Aerospace Consulting LLC</w:t>
      </w:r>
      <w:r>
        <w:br/>
      </w:r>
      <w:r>
        <w:t xml:space="preserve">Name: _________________________</w:t>
      </w:r>
      <w:r>
        <w:br/>
      </w:r>
      <w:r>
        <w:t xml:space="preserve">Title: Chief Aerospace Engineer</w:t>
      </w:r>
      <w:r>
        <w:br/>
      </w:r>
      <w:r>
        <w:t xml:space="preserve">Signature &amp; Date: 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Signature &amp; Date: _______________</w:t>
      </w:r>
    </w:p>
    <w:p>
      <w:pPr>
        <w:pStyle w:val="BodyText"/>
      </w:pPr>
      <w:r>
        <w:t xml:space="preserve">Quotation Estimate QE-2025-TSK-0472 | Aerospace Engineer Services | Uzbekistan Tashkent</w:t>
      </w:r>
    </w:p>
    <w:p>
      <w:pPr>
        <w:pStyle w:val="BodyText"/>
      </w:pPr>
      <w:r>
        <w:t xml:space="preserve">Altair Aerospace Consulting LLC | 42 Amir Temur Avenue, Tashkent 100084, Republic of Uzbekistan</w:t>
      </w:r>
    </w:p>
    <w:p>
      <w:pPr>
        <w:pStyle w:val="BodyText"/>
      </w:pPr>
      <w:r>
        <w:t xml:space="preserve">This document is confidential and intended solely for the named recipient. Unauthorized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Aerospace Engineer Services - Uzbekistan Tashkent</dc:title>
  <dc:creator/>
  <dc:language>en</dc:language>
  <cp:keywords/>
  <dcterms:created xsi:type="dcterms:W3CDTF">2026-10-10T04:33:25Z</dcterms:created>
  <dcterms:modified xsi:type="dcterms:W3CDTF">2026-10-10T04:33:25Z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