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Architect Services — Afghanistan Kabul</w:t>
      </w:r>
    </w:p>
    <w:p>
      <w:pPr>
        <w:pStyle w:val="BodyText"/>
      </w:pPr>
      <w:r>
        <w:t xml:space="preserve">Ref. No: QE-ARK-KBL-2025-0047 | Date: 15 June 2025</w:t>
      </w:r>
    </w:p>
    <w:bookmarkEnd w:id="20"/>
    <w:bookmarkStart w:id="21" w:name="prepared-by-architect-firm"/>
    <w:p>
      <w:pPr>
        <w:pStyle w:val="Heading3"/>
      </w:pPr>
      <w:r>
        <w:t xml:space="preserve">Prepared By (Architect Firm)</w:t>
      </w:r>
    </w:p>
    <w:p>
      <w:pPr>
        <w:pStyle w:val="FirstParagraph"/>
      </w:pPr>
      <w:r>
        <w:rPr>
          <w:bCs/>
          <w:b/>
        </w:rPr>
        <w:t xml:space="preserve">Meridian Architectural Design Studio</w:t>
      </w:r>
    </w:p>
    <w:p>
      <w:pPr>
        <w:pStyle w:val="BodyText"/>
      </w:pPr>
      <w:r>
        <w:t xml:space="preserve">Architect &amp; Urban Planning Consultants</w:t>
      </w:r>
    </w:p>
    <w:p>
      <w:pPr>
        <w:pStyle w:val="BodyText"/>
      </w:pPr>
      <w:r>
        <w:t xml:space="preserve">Office 12, Darul Aman Road, Wazir Akbar Khan</w:t>
      </w:r>
    </w:p>
    <w:p>
      <w:pPr>
        <w:pStyle w:val="BodyText"/>
      </w:pPr>
      <w:r>
        <w:t xml:space="preserve">Kabul, Afghanistan</w:t>
      </w:r>
    </w:p>
    <w:p>
      <w:pPr>
        <w:pStyle w:val="BodyText"/>
      </w:pPr>
      <w:r>
        <w:t xml:space="preserve">Tel: +93 700 123 456</w:t>
      </w:r>
    </w:p>
    <w:p>
      <w:pPr>
        <w:pStyle w:val="BodyText"/>
      </w:pPr>
      <w:r>
        <w:t xml:space="preserve">Email: info@meridianarch-kabul.af</w:t>
      </w:r>
    </w:p>
    <w:bookmarkEnd w:id="21"/>
    <w:bookmarkStart w:id="22" w:name="prepared-for-client"/>
    <w:p>
      <w:pPr>
        <w:pStyle w:val="Heading3"/>
      </w:pPr>
      <w:r>
        <w:t xml:space="preserve">Prepared For (Client)</w:t>
      </w:r>
    </w:p>
    <w:p>
      <w:pPr>
        <w:pStyle w:val="FirstParagraph"/>
      </w:pPr>
      <w:r>
        <w:rPr>
          <w:bCs/>
          <w:b/>
        </w:rPr>
        <w:t xml:space="preserve">Mr. Ahmad Zahir Karimi</w:t>
      </w:r>
    </w:p>
    <w:p>
      <w:pPr>
        <w:pStyle w:val="BodyText"/>
      </w:pPr>
      <w:r>
        <w:t xml:space="preserve">Director, Karimi Construction Group</w:t>
      </w:r>
    </w:p>
    <w:p>
      <w:pPr>
        <w:pStyle w:val="BodyText"/>
      </w:pPr>
      <w:r>
        <w:t xml:space="preserve">Plot 45, Spin Ghar District</w:t>
      </w:r>
    </w:p>
    <w:p>
      <w:pPr>
        <w:pStyle w:val="BodyText"/>
      </w:pPr>
      <w:r>
        <w:t xml:space="preserve">Kabul, Afghanistan</w:t>
      </w:r>
    </w:p>
    <w:p>
      <w:pPr>
        <w:pStyle w:val="BodyText"/>
      </w:pPr>
      <w:r>
        <w:t xml:space="preserve">Tel: +93 799 654 321</w:t>
      </w:r>
    </w:p>
    <w:p>
      <w:pPr>
        <w:pStyle w:val="BodyText"/>
      </w:pPr>
      <w:r>
        <w:t xml:space="preserve">Email: a.karimi@karimiconstruction.af</w:t>
      </w:r>
    </w:p>
    <w:bookmarkEnd w:id="22"/>
    <w:bookmarkStart w:id="23" w:name="project-overview"/>
    <w:p>
      <w:pPr>
        <w:pStyle w:val="Heading2"/>
      </w:pPr>
      <w:r>
        <w:t xml:space="preserve">1. Project Overview</w:t>
      </w:r>
    </w:p>
    <w:p>
      <w:pPr>
        <w:pStyle w:val="FirstParagraph"/>
      </w:pPr>
      <w:r>
        <w:t xml:space="preserve">This</w:t>
      </w:r>
      <w:r>
        <w:t xml:space="preserve"> </w:t>
      </w:r>
      <w:r>
        <w:t xml:space="preserve">Quotation Estimate</w:t>
      </w:r>
      <w:r>
        <w:t xml:space="preserve"> </w:t>
      </w:r>
      <w:r>
        <w:t xml:space="preserve">is issued by Meridian Architectural Design Studio, a licensed</w:t>
      </w:r>
      <w:r>
        <w:t xml:space="preserve"> </w:t>
      </w:r>
      <w:r>
        <w:t xml:space="preserve">Architect</w:t>
      </w:r>
      <w:r>
        <w:t xml:space="preserve"> </w:t>
      </w:r>
      <w:r>
        <w:t xml:space="preserve">practice operating in</w:t>
      </w:r>
      <w:r>
        <w:t xml:space="preserve"> </w:t>
      </w:r>
      <w:r>
        <w:t xml:space="preserve">Afghanistan Kabul</w:t>
      </w:r>
      <w:r>
        <w:t xml:space="preserve">, in response to the client's request for comprehensive architectural design and consulting services. The project entails the design, planning, and architectural supervision of a six-storey mixed-use commercial and residential building located in the Wazir Akbar Khan district of Kabul, Afghanistan. The total built-up area is estimated at 4,200 square metres, incorporating ground-floor retail spaces, four residential floors, and a rooftop mechanical and amenity level.</w:t>
      </w:r>
    </w:p>
    <w:p>
      <w:pPr>
        <w:pStyle w:val="BodyText"/>
      </w:pPr>
      <w:r>
        <w:t xml:space="preserve">The</w:t>
      </w:r>
      <w:r>
        <w:t xml:space="preserve"> </w:t>
      </w:r>
      <w:r>
        <w:t xml:space="preserve">Architect</w:t>
      </w:r>
      <w:r>
        <w:t xml:space="preserve"> </w:t>
      </w:r>
      <w:r>
        <w:t xml:space="preserve">team will deliver all design documentation in compliance with the Afghanistan National Building Code, the Kabul Municipality zoning regulations, and applicable seismic design standards relevant to the seismic zone in which the project site in</w:t>
      </w:r>
      <w:r>
        <w:t xml:space="preserve"> </w:t>
      </w:r>
      <w:r>
        <w:t xml:space="preserve">Afghanistan Kabul</w:t>
      </w:r>
      <w:r>
        <w:t xml:space="preserve"> </w:t>
      </w:r>
      <w:r>
        <w:t xml:space="preserve">is situated. All deliverables will be produced in both English and Dari to facilitate local authority approvals and contractor coordination.</w:t>
      </w:r>
    </w:p>
    <w:bookmarkEnd w:id="23"/>
    <w:bookmarkStart w:id="24" w:name="scope-of-architect-services"/>
    <w:p>
      <w:pPr>
        <w:pStyle w:val="Heading2"/>
      </w:pPr>
      <w:r>
        <w:t xml:space="preserve">2. Scope of Architect Services</w:t>
      </w:r>
    </w:p>
    <w:p>
      <w:pPr>
        <w:pStyle w:val="FirstParagraph"/>
      </w:pPr>
      <w:r>
        <w:t xml:space="preserve">The following scope of work is included in this</w:t>
      </w:r>
      <w:r>
        <w:t xml:space="preserve"> </w:t>
      </w:r>
      <w:r>
        <w:t xml:space="preserve">Quotation Estimate</w:t>
      </w:r>
      <w:r>
        <w:t xml:space="preserve"> </w:t>
      </w:r>
      <w:r>
        <w:t xml:space="preserve">for the</w:t>
      </w:r>
      <w:r>
        <w:t xml:space="preserve"> </w:t>
      </w:r>
      <w:r>
        <w:t xml:space="preserve">Architect</w:t>
      </w:r>
      <w:r>
        <w:t xml:space="preserve"> </w:t>
      </w:r>
      <w:r>
        <w:t xml:space="preserve">engagement in</w:t>
      </w:r>
      <w:r>
        <w:t xml:space="preserve"> </w:t>
      </w:r>
      <w:r>
        <w:t xml:space="preserve">Afghanistan Kabul</w:t>
      </w:r>
      <w:r>
        <w:t xml:space="preserve">:</w:t>
      </w:r>
    </w:p>
    <w:p>
      <w:pPr>
        <w:numPr>
          <w:ilvl w:val="0"/>
          <w:numId w:val="1001"/>
        </w:numPr>
        <w:pStyle w:val="Compact"/>
      </w:pPr>
      <w:r>
        <w:t xml:space="preserve">Site analysis, feasibility study, and preliminary concept design</w:t>
      </w:r>
    </w:p>
    <w:p>
      <w:pPr>
        <w:numPr>
          <w:ilvl w:val="0"/>
          <w:numId w:val="1001"/>
        </w:numPr>
        <w:pStyle w:val="Compact"/>
      </w:pPr>
      <w:r>
        <w:t xml:space="preserve">Development of schematic design drawings and 3D visualisations</w:t>
      </w:r>
    </w:p>
    <w:p>
      <w:pPr>
        <w:numPr>
          <w:ilvl w:val="0"/>
          <w:numId w:val="1001"/>
        </w:numPr>
        <w:pStyle w:val="Compact"/>
      </w:pPr>
      <w:r>
        <w:t xml:space="preserve">Preparation of detailed architectural working drawings (floor plans, elevations, sections, and details)</w:t>
      </w:r>
    </w:p>
    <w:p>
      <w:pPr>
        <w:numPr>
          <w:ilvl w:val="0"/>
          <w:numId w:val="1001"/>
        </w:numPr>
        <w:pStyle w:val="Compact"/>
      </w:pPr>
      <w:r>
        <w:t xml:space="preserve">Structural coordination and integration with the structural engineering team</w:t>
      </w:r>
    </w:p>
    <w:p>
      <w:pPr>
        <w:numPr>
          <w:ilvl w:val="0"/>
          <w:numId w:val="1001"/>
        </w:numPr>
        <w:pStyle w:val="Compact"/>
      </w:pPr>
      <w:r>
        <w:t xml:space="preserve">Interior design concept for common areas and retail spaces</w:t>
      </w:r>
    </w:p>
    <w:p>
      <w:pPr>
        <w:numPr>
          <w:ilvl w:val="0"/>
          <w:numId w:val="1001"/>
        </w:numPr>
        <w:pStyle w:val="Compact"/>
      </w:pPr>
      <w:r>
        <w:t xml:space="preserve">Preparation of building permit application documents for Kabul Municipality</w:t>
      </w:r>
    </w:p>
    <w:p>
      <w:pPr>
        <w:numPr>
          <w:ilvl w:val="0"/>
          <w:numId w:val="1001"/>
        </w:numPr>
        <w:pStyle w:val="Compact"/>
      </w:pPr>
      <w:r>
        <w:t xml:space="preserve">Material and finish specification schedules</w:t>
      </w:r>
    </w:p>
    <w:p>
      <w:pPr>
        <w:numPr>
          <w:ilvl w:val="0"/>
          <w:numId w:val="1001"/>
        </w:numPr>
        <w:pStyle w:val="Compact"/>
      </w:pPr>
      <w:r>
        <w:t xml:space="preserve">Construction-phase architectural supervision and site inspections (minimum 12 site visits)</w:t>
      </w:r>
    </w:p>
    <w:p>
      <w:pPr>
        <w:numPr>
          <w:ilvl w:val="0"/>
          <w:numId w:val="1001"/>
        </w:numPr>
        <w:pStyle w:val="Compact"/>
      </w:pPr>
      <w:r>
        <w:t xml:space="preserve">As-built documentation and project close-out report</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Architect Service</w:t>
            </w:r>
          </w:p>
        </w:tc>
        <w:tc>
          <w:tcPr/>
          <w:p>
            <w:pPr>
              <w:pStyle w:val="Compact"/>
              <w:jc w:val="left"/>
            </w:pPr>
            <w:r>
              <w:t xml:space="preserve">Unit</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Feasibility Study &amp; Site Analysis Report (Kabul, Afghanistan)</w:t>
            </w:r>
          </w:p>
        </w:tc>
        <w:tc>
          <w:tcPr/>
          <w:p>
            <w:pPr>
              <w:pStyle w:val="Compact"/>
              <w:jc w:val="left"/>
            </w:pPr>
            <w:r>
              <w:t xml:space="preserve">Lump Sum</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t xml:space="preserve">Concept Design &amp; Schematic Drawings (3 iterations)</w:t>
            </w:r>
          </w:p>
        </w:tc>
        <w:tc>
          <w:tcPr/>
          <w:p>
            <w:pPr>
              <w:pStyle w:val="Compact"/>
              <w:jc w:val="left"/>
            </w:pPr>
            <w:r>
              <w:t xml:space="preserve">Lump Sum</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3</w:t>
            </w:r>
          </w:p>
        </w:tc>
        <w:tc>
          <w:tcPr/>
          <w:p>
            <w:pPr>
              <w:pStyle w:val="Compact"/>
              <w:jc w:val="left"/>
            </w:pPr>
            <w:r>
              <w:t xml:space="preserve">Detailed Architectural Working Drawings (6 storeys, 4,200 sqm)</w:t>
            </w:r>
          </w:p>
        </w:tc>
        <w:tc>
          <w:tcPr/>
          <w:p>
            <w:pPr>
              <w:pStyle w:val="Compact"/>
              <w:jc w:val="left"/>
            </w:pPr>
            <w:r>
              <w:t xml:space="preserve">Per sqm</w:t>
            </w:r>
          </w:p>
        </w:tc>
        <w:tc>
          <w:tcPr/>
          <w:p>
            <w:pPr>
              <w:pStyle w:val="Compact"/>
              <w:jc w:val="left"/>
            </w:pPr>
            <w:r>
              <w:t xml:space="preserve">12.50</w:t>
            </w:r>
          </w:p>
        </w:tc>
        <w:tc>
          <w:tcPr/>
          <w:p>
            <w:pPr>
              <w:pStyle w:val="Compact"/>
              <w:jc w:val="left"/>
            </w:pPr>
            <w:r>
              <w:t xml:space="preserve">52,500.00</w:t>
            </w:r>
          </w:p>
        </w:tc>
      </w:tr>
      <w:tr>
        <w:tc>
          <w:tcPr/>
          <w:p>
            <w:pPr>
              <w:pStyle w:val="Compact"/>
              <w:jc w:val="left"/>
            </w:pPr>
            <w:r>
              <w:t xml:space="preserve">4</w:t>
            </w:r>
          </w:p>
        </w:tc>
        <w:tc>
          <w:tcPr/>
          <w:p>
            <w:pPr>
              <w:pStyle w:val="Compact"/>
              <w:jc w:val="left"/>
            </w:pPr>
            <w:r>
              <w:t xml:space="preserve">3D Modelling &amp; Photorealistic Renderings (12 views)</w:t>
            </w:r>
          </w:p>
        </w:tc>
        <w:tc>
          <w:tcPr/>
          <w:p>
            <w:pPr>
              <w:pStyle w:val="Compact"/>
              <w:jc w:val="left"/>
            </w:pPr>
            <w:r>
              <w:t xml:space="preserve">Lump Sum</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5</w:t>
            </w:r>
          </w:p>
        </w:tc>
        <w:tc>
          <w:tcPr/>
          <w:p>
            <w:pPr>
              <w:pStyle w:val="Compact"/>
              <w:jc w:val="left"/>
            </w:pPr>
            <w:r>
              <w:t xml:space="preserve">Interior Design Concept (Common Areas &amp; Retail)</w:t>
            </w:r>
          </w:p>
        </w:tc>
        <w:tc>
          <w:tcPr/>
          <w:p>
            <w:pPr>
              <w:pStyle w:val="Compact"/>
              <w:jc w:val="left"/>
            </w:pPr>
            <w:r>
              <w:t xml:space="preserve">Lump Sum</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6</w:t>
            </w:r>
          </w:p>
        </w:tc>
        <w:tc>
          <w:tcPr/>
          <w:p>
            <w:pPr>
              <w:pStyle w:val="Compact"/>
              <w:jc w:val="left"/>
            </w:pPr>
            <w:r>
              <w:t xml:space="preserve">Building Permit Documentation &amp; Municipality Liaison (Kabul)</w:t>
            </w:r>
          </w:p>
        </w:tc>
        <w:tc>
          <w:tcPr/>
          <w:p>
            <w:pPr>
              <w:pStyle w:val="Compact"/>
              <w:jc w:val="left"/>
            </w:pPr>
            <w:r>
              <w:t xml:space="preserve">Lump Sum</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7</w:t>
            </w:r>
          </w:p>
        </w:tc>
        <w:tc>
          <w:tcPr/>
          <w:p>
            <w:pPr>
              <w:pStyle w:val="Compact"/>
              <w:jc w:val="left"/>
            </w:pPr>
            <w:r>
              <w:t xml:space="preserve">Material &amp; Finish Specification Schedules</w:t>
            </w:r>
          </w:p>
        </w:tc>
        <w:tc>
          <w:tcPr/>
          <w:p>
            <w:pPr>
              <w:pStyle w:val="Compact"/>
              <w:jc w:val="left"/>
            </w:pPr>
            <w:r>
              <w:t xml:space="preserve">Lump Sum</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8</w:t>
            </w:r>
          </w:p>
        </w:tc>
        <w:tc>
          <w:tcPr/>
          <w:p>
            <w:pPr>
              <w:pStyle w:val="Compact"/>
              <w:jc w:val="left"/>
            </w:pPr>
            <w:r>
              <w:t xml:space="preserve">Construction-Phase Architect Supervision (12 site visits)</w:t>
            </w:r>
          </w:p>
        </w:tc>
        <w:tc>
          <w:tcPr/>
          <w:p>
            <w:pPr>
              <w:pStyle w:val="Compact"/>
              <w:jc w:val="left"/>
            </w:pPr>
            <w:r>
              <w:t xml:space="preserve">Per visit</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9</w:t>
            </w:r>
          </w:p>
        </w:tc>
        <w:tc>
          <w:tcPr/>
          <w:p>
            <w:pPr>
              <w:pStyle w:val="Compact"/>
              <w:jc w:val="left"/>
            </w:pPr>
            <w:r>
              <w:t xml:space="preserve">As-Built Documentation &amp; Project Close-Out</w:t>
            </w:r>
          </w:p>
        </w:tc>
        <w:tc>
          <w:tcPr/>
          <w:p>
            <w:pPr>
              <w:pStyle w:val="Compact"/>
              <w:jc w:val="left"/>
            </w:pPr>
            <w:r>
              <w:t xml:space="preserve">Lump Sum</w:t>
            </w:r>
          </w:p>
        </w:tc>
        <w:tc>
          <w:tcPr/>
          <w:p>
            <w:pPr>
              <w:pStyle w:val="Compact"/>
              <w:jc w:val="left"/>
            </w:pPr>
            <w:r>
              <w:t xml:space="preserve">3,000.00</w:t>
            </w:r>
          </w:p>
        </w:tc>
        <w:tc>
          <w:tcPr/>
          <w:p>
            <w:pPr>
              <w:pStyle w:val="Compact"/>
              <w:jc w:val="left"/>
            </w:pPr>
            <w:r>
              <w:t xml:space="preserve">3,000.00</w:t>
            </w:r>
          </w:p>
        </w:tc>
      </w:tr>
      <w:tr>
        <w:tc>
          <w:tcPr>
            <w:gridSpan w:val="4"/>
          </w:tcPr>
          <w:p>
            <w:pPr>
              <w:pStyle w:val="Compact"/>
              <w:jc w:val="right"/>
            </w:pPr>
            <w:r>
              <w:t xml:space="preserve">TOTAL ESTIMATED COST (USD)</w:t>
            </w:r>
          </w:p>
        </w:tc>
        <w:tc>
          <w:tcPr/>
          <w:p>
            <w:pPr>
              <w:pStyle w:val="Compact"/>
              <w:jc w:val="left"/>
            </w:pPr>
            <w:r>
              <w:rPr>
                <w:bCs/>
                <w:b/>
              </w:rPr>
              <w:t xml:space="preserve">90,900.00</w:t>
            </w:r>
          </w:p>
        </w:tc>
      </w:tr>
    </w:tbl>
    <w:bookmarkEnd w:id="25"/>
    <w:bookmarkStart w:id="26" w:name="payment-schedule"/>
    <w:p>
      <w:pPr>
        <w:pStyle w:val="Heading2"/>
      </w:pPr>
      <w:r>
        <w:t xml:space="preserve">4. Payment Schedule</w:t>
      </w:r>
    </w:p>
    <w:p>
      <w:pPr>
        <w:pStyle w:val="FirstParagraph"/>
      </w:pPr>
      <w:r>
        <w:t xml:space="preserve">The total amount of this</w:t>
      </w:r>
      <w:r>
        <w:t xml:space="preserve"> </w:t>
      </w:r>
      <w:r>
        <w:t xml:space="preserve">Quotation Estimate</w:t>
      </w:r>
      <w:r>
        <w:t xml:space="preserve"> </w:t>
      </w:r>
      <w:r>
        <w:t xml:space="preserve">shall be disbursed in the following instalments, aligned with the</w:t>
      </w:r>
      <w:r>
        <w:t xml:space="preserve"> </w:t>
      </w:r>
      <w:r>
        <w:t xml:space="preserve">Architect</w:t>
      </w:r>
      <w:r>
        <w:t xml:space="preserve"> </w:t>
      </w:r>
      <w:r>
        <w:t xml:space="preserve">project milestones in</w:t>
      </w:r>
      <w:r>
        <w:t xml:space="preserve"> </w:t>
      </w:r>
      <w:r>
        <w:t xml:space="preserve">Afghanistan Kabul</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r>
      <w:tr>
        <w:tc>
          <w:tcPr/>
          <w:p>
            <w:pPr>
              <w:pStyle w:val="Compact"/>
              <w:jc w:val="left"/>
            </w:pPr>
            <w:r>
              <w:t xml:space="preserve">Upon signing of the Architect Services Agreement</w:t>
            </w:r>
          </w:p>
        </w:tc>
        <w:tc>
          <w:tcPr/>
          <w:p>
            <w:pPr>
              <w:pStyle w:val="Compact"/>
              <w:jc w:val="left"/>
            </w:pPr>
            <w:r>
              <w:t xml:space="preserve">20%</w:t>
            </w:r>
          </w:p>
        </w:tc>
        <w:tc>
          <w:tcPr/>
          <w:p>
            <w:pPr>
              <w:pStyle w:val="Compact"/>
              <w:jc w:val="left"/>
            </w:pPr>
            <w:r>
              <w:t xml:space="preserve">18,180.00</w:t>
            </w:r>
          </w:p>
        </w:tc>
      </w:tr>
      <w:tr>
        <w:tc>
          <w:tcPr/>
          <w:p>
            <w:pPr>
              <w:pStyle w:val="Compact"/>
              <w:jc w:val="left"/>
            </w:pPr>
            <w:r>
              <w:t xml:space="preserve">Submission of Schematic Design for approval</w:t>
            </w:r>
          </w:p>
        </w:tc>
        <w:tc>
          <w:tcPr/>
          <w:p>
            <w:pPr>
              <w:pStyle w:val="Compact"/>
              <w:jc w:val="left"/>
            </w:pPr>
            <w:r>
              <w:t xml:space="preserve">20%</w:t>
            </w:r>
          </w:p>
        </w:tc>
        <w:tc>
          <w:tcPr/>
          <w:p>
            <w:pPr>
              <w:pStyle w:val="Compact"/>
              <w:jc w:val="left"/>
            </w:pPr>
            <w:r>
              <w:t xml:space="preserve">18,180.00</w:t>
            </w:r>
          </w:p>
        </w:tc>
      </w:tr>
      <w:tr>
        <w:tc>
          <w:tcPr/>
          <w:p>
            <w:pPr>
              <w:pStyle w:val="Compact"/>
              <w:jc w:val="left"/>
            </w:pPr>
            <w:r>
              <w:t xml:space="preserve">Submission of Detailed Working Drawings</w:t>
            </w:r>
          </w:p>
        </w:tc>
        <w:tc>
          <w:tcPr/>
          <w:p>
            <w:pPr>
              <w:pStyle w:val="Compact"/>
              <w:jc w:val="left"/>
            </w:pPr>
            <w:r>
              <w:t xml:space="preserve">30%</w:t>
            </w:r>
          </w:p>
        </w:tc>
        <w:tc>
          <w:tcPr/>
          <w:p>
            <w:pPr>
              <w:pStyle w:val="Compact"/>
              <w:jc w:val="left"/>
            </w:pPr>
            <w:r>
              <w:t xml:space="preserve">27,270.00</w:t>
            </w:r>
          </w:p>
        </w:tc>
      </w:tr>
      <w:tr>
        <w:tc>
          <w:tcPr/>
          <w:p>
            <w:pPr>
              <w:pStyle w:val="Compact"/>
              <w:jc w:val="left"/>
            </w:pPr>
            <w:r>
              <w:t xml:space="preserve">Completion of Construction Supervision</w:t>
            </w:r>
          </w:p>
        </w:tc>
        <w:tc>
          <w:tcPr/>
          <w:p>
            <w:pPr>
              <w:pStyle w:val="Compact"/>
              <w:jc w:val="left"/>
            </w:pPr>
            <w:r>
              <w:t xml:space="preserve">20%</w:t>
            </w:r>
          </w:p>
        </w:tc>
        <w:tc>
          <w:tcPr/>
          <w:p>
            <w:pPr>
              <w:pStyle w:val="Compact"/>
              <w:jc w:val="left"/>
            </w:pPr>
            <w:r>
              <w:t xml:space="preserve">18,180.00</w:t>
            </w:r>
          </w:p>
        </w:tc>
      </w:tr>
      <w:tr>
        <w:tc>
          <w:tcPr/>
          <w:p>
            <w:pPr>
              <w:pStyle w:val="Compact"/>
              <w:jc w:val="left"/>
            </w:pPr>
            <w:r>
              <w:t xml:space="preserve">Delivery of As-Built Documentation</w:t>
            </w:r>
          </w:p>
        </w:tc>
        <w:tc>
          <w:tcPr/>
          <w:p>
            <w:pPr>
              <w:pStyle w:val="Compact"/>
              <w:jc w:val="left"/>
            </w:pPr>
            <w:r>
              <w:t xml:space="preserve">10%</w:t>
            </w:r>
          </w:p>
        </w:tc>
        <w:tc>
          <w:tcPr/>
          <w:p>
            <w:pPr>
              <w:pStyle w:val="Compact"/>
              <w:jc w:val="left"/>
            </w:pPr>
            <w:r>
              <w:t xml:space="preserve">9,090.00</w:t>
            </w:r>
          </w:p>
        </w:tc>
      </w:tr>
    </w:tbl>
    <w:bookmarkEnd w:id="26"/>
    <w:bookmarkStart w:id="27"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sixty (60) calendar days from the date of issue. Beyond this period, the</w:t>
      </w:r>
      <w:r>
        <w:t xml:space="preserve"> </w:t>
      </w:r>
      <w:r>
        <w:t xml:space="preserve">Architect</w:t>
      </w:r>
      <w:r>
        <w:t xml:space="preserve"> </w:t>
      </w:r>
      <w:r>
        <w:t xml:space="preserve">firm reserves the right to revise rates due to market fluctuations in</w:t>
      </w:r>
      <w:r>
        <w:t xml:space="preserve"> </w:t>
      </w:r>
      <w:r>
        <w:t xml:space="preserve">Afghanistan Kabul</w:t>
      </w:r>
      <w:r>
        <w:t xml:space="preserve">.</w:t>
      </w:r>
    </w:p>
    <w:p>
      <w:pPr>
        <w:numPr>
          <w:ilvl w:val="0"/>
          <w:numId w:val="1002"/>
        </w:numPr>
        <w:pStyle w:val="Compact"/>
      </w:pPr>
      <w:r>
        <w:t xml:space="preserve">All prices are quoted in United States Dollars (USD) and are exclusive of any applicable Afghan Value Added Tax (VAT) or municipal levies, which shall be borne by the client.</w:t>
      </w:r>
    </w:p>
    <w:p>
      <w:pPr>
        <w:numPr>
          <w:ilvl w:val="0"/>
          <w:numId w:val="1002"/>
        </w:numPr>
        <w:pStyle w:val="Compact"/>
      </w:pPr>
      <w:r>
        <w:t xml:space="preserve">The</w:t>
      </w:r>
      <w:r>
        <w:t xml:space="preserve"> </w:t>
      </w:r>
      <w:r>
        <w:t xml:space="preserve">Architect</w:t>
      </w:r>
      <w:r>
        <w:t xml:space="preserve"> </w:t>
      </w:r>
      <w:r>
        <w:t xml:space="preserve">shall not be liable for delays caused by Kabul Municipality processing times, force majeure events, or client-initiated design changes exceeding two (2) revision cycles per design phase.</w:t>
      </w:r>
    </w:p>
    <w:p>
      <w:pPr>
        <w:numPr>
          <w:ilvl w:val="0"/>
          <w:numId w:val="1002"/>
        </w:numPr>
        <w:pStyle w:val="Compact"/>
      </w:pPr>
      <w:r>
        <w:t xml:space="preserve">Any additional services beyond the scope defined in Section 2 of this</w:t>
      </w:r>
      <w:r>
        <w:t xml:space="preserve"> </w:t>
      </w:r>
      <w:r>
        <w:t xml:space="preserve">Quotation Estimate</w:t>
      </w:r>
      <w:r>
        <w:t xml:space="preserve"> </w:t>
      </w:r>
      <w:r>
        <w:t xml:space="preserve">shall be billed separately at the</w:t>
      </w:r>
      <w:r>
        <w:t xml:space="preserve"> </w:t>
      </w:r>
      <w:r>
        <w:t xml:space="preserve">Architect</w:t>
      </w:r>
      <w:r>
        <w:t xml:space="preserve">'s standard hourly rate of USD 85.00 per hour.</w:t>
      </w:r>
    </w:p>
    <w:p>
      <w:pPr>
        <w:numPr>
          <w:ilvl w:val="0"/>
          <w:numId w:val="1002"/>
        </w:numPr>
        <w:pStyle w:val="Compact"/>
      </w:pPr>
      <w:r>
        <w:t xml:space="preserve">Intellectual property of all design documents, drawings, and 3D models produced by the</w:t>
      </w:r>
      <w:r>
        <w:t xml:space="preserve"> </w:t>
      </w:r>
      <w:r>
        <w:t xml:space="preserve">Architect</w:t>
      </w:r>
      <w:r>
        <w:t xml:space="preserve"> </w:t>
      </w:r>
      <w:r>
        <w:t xml:space="preserve">shall remain the property of Meridian Architectural Design Studio until full payment is received.</w:t>
      </w:r>
    </w:p>
    <w:p>
      <w:pPr>
        <w:numPr>
          <w:ilvl w:val="0"/>
          <w:numId w:val="1002"/>
        </w:numPr>
        <w:pStyle w:val="Compact"/>
      </w:pPr>
      <w:r>
        <w:t xml:space="preserve">Disputes arising from this engagement shall be resolved through arbitration in Kabul, Afghanistan, in accordance with the Afghanistan Arbitration Law.</w:t>
      </w:r>
    </w:p>
    <w:p>
      <w:pPr>
        <w:numPr>
          <w:ilvl w:val="0"/>
          <w:numId w:val="1002"/>
        </w:numPr>
        <w:pStyle w:val="Compact"/>
      </w:pPr>
      <w:r>
        <w:t xml:space="preserve">The</w:t>
      </w:r>
      <w:r>
        <w:t xml:space="preserve"> </w:t>
      </w:r>
      <w:r>
        <w:t xml:space="preserve">Architect</w:t>
      </w:r>
      <w:r>
        <w:t xml:space="preserve"> </w:t>
      </w:r>
      <w:r>
        <w:t xml:space="preserve">team shall maintain professional liability insurance with a minimum coverage of USD 500,000 throughout the duration of the project in</w:t>
      </w:r>
      <w:r>
        <w:t xml:space="preserve"> </w:t>
      </w:r>
      <w:r>
        <w:t xml:space="preserve">Afghanistan Kabul</w:t>
      </w:r>
      <w:r>
        <w:t xml:space="preserve">.</w:t>
      </w:r>
    </w:p>
    <w:bookmarkEnd w:id="27"/>
    <w:bookmarkStart w:id="28" w:name="project-timeline"/>
    <w:p>
      <w:pPr>
        <w:pStyle w:val="Heading2"/>
      </w:pPr>
      <w:r>
        <w:t xml:space="preserve">6. Project Timeline</w:t>
      </w:r>
    </w:p>
    <w:p>
      <w:pPr>
        <w:pStyle w:val="FirstParagraph"/>
      </w:pPr>
      <w:r>
        <w:t xml:space="preserve">The estimated duration for the complete</w:t>
      </w:r>
      <w:r>
        <w:t xml:space="preserve"> </w:t>
      </w:r>
      <w:r>
        <w:t xml:space="preserve">Architect</w:t>
      </w:r>
      <w:r>
        <w:t xml:space="preserve"> </w:t>
      </w:r>
      <w:r>
        <w:t xml:space="preserve">engagement, from commencement to as-built delivery, is twenty-two (22) weeks, subject to timely client approvals and municipal processing in</w:t>
      </w:r>
      <w:r>
        <w:t xml:space="preserve"> </w:t>
      </w:r>
      <w:r>
        <w:t xml:space="preserve">Afghanistan Kabul</w:t>
      </w:r>
      <w:r>
        <w:t xml:space="preserve">. A detailed Gantt chart will be provided upon contract execution.</w:t>
      </w:r>
    </w:p>
    <w:p>
      <w:pPr>
        <w:pStyle w:val="BodyText"/>
      </w:pPr>
      <w:r>
        <w:rPr>
          <w:bCs/>
          <w:b/>
        </w:rPr>
        <w:t xml:space="preserve">For and on behalf of</w:t>
      </w:r>
    </w:p>
    <w:p>
      <w:pPr>
        <w:pStyle w:val="BodyText"/>
      </w:pPr>
      <w:r>
        <w:t xml:space="preserve">Meridian Architectural Design Studio</w:t>
      </w:r>
    </w:p>
    <w:p>
      <w:pPr>
        <w:pStyle w:val="BodyText"/>
      </w:pPr>
      <w:r>
        <w:t xml:space="preserve">(Architect Firm, Kabul, Afghanistan)</w:t>
      </w:r>
    </w:p>
    <w:p>
      <w:pPr>
        <w:pStyle w:val="BodyText"/>
      </w:pPr>
      <w:r>
        <w:t xml:space="preserve">Signature &amp; Date</w:t>
      </w:r>
    </w:p>
    <w:p>
      <w:pPr>
        <w:pStyle w:val="BodyText"/>
      </w:pPr>
      <w:r>
        <w:t xml:space="preserve">Eng. Faridullah Noori, Principal Architect</w:t>
      </w:r>
    </w:p>
    <w:p>
      <w:pPr>
        <w:pStyle w:val="BodyText"/>
      </w:pPr>
      <w:r>
        <w:rPr>
          <w:bCs/>
          <w:b/>
        </w:rPr>
        <w:t xml:space="preserve">Accepted by (Client)</w:t>
      </w:r>
    </w:p>
    <w:p>
      <w:pPr>
        <w:pStyle w:val="BodyText"/>
      </w:pPr>
      <w:r>
        <w:t xml:space="preserve">Karimi Construction Group</w:t>
      </w:r>
    </w:p>
    <w:p>
      <w:pPr>
        <w:pStyle w:val="BodyText"/>
      </w:pPr>
      <w:r>
        <w:t xml:space="preserve">Kabul, Afghanistan</w:t>
      </w:r>
    </w:p>
    <w:p>
      <w:pPr>
        <w:pStyle w:val="BodyText"/>
      </w:pPr>
      <w:r>
        <w:t xml:space="preserve">Signature &amp; Date</w:t>
      </w:r>
    </w:p>
    <w:p>
      <w:pPr>
        <w:pStyle w:val="BodyText"/>
      </w:pPr>
      <w:r>
        <w:t xml:space="preserve">Mr. Ahmad Zahir Karimi, Director</w:t>
      </w:r>
    </w:p>
    <w:p>
      <w:pPr>
        <w:pStyle w:val="BodyText"/>
      </w:pPr>
      <w:r>
        <w:t xml:space="preserve">This Quotation Estimate document is the property of Meridian Architectural Design Studio, Kabul, Afghanistan. Unauthorised reproduction or distribution is prohibited. Document Ref: QE-ARK-KBL-2025-0047.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Afghanistan Kabul</dc:title>
  <dc:creator/>
  <dc:language>en</dc:language>
  <cp:keywords/>
  <dcterms:created xsi:type="dcterms:W3CDTF">2026-10-10T02:31:47Z</dcterms:created>
  <dcterms:modified xsi:type="dcterms:W3CDTF">2026-10-10T02:31:47Z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