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1" w:name="quotation-estimate"/>
    <w:p>
      <w:pPr>
        <w:pStyle w:val="Heading1"/>
      </w:pPr>
      <w:r>
        <w:t xml:space="preserve">QUOTATION ESTIMATE</w:t>
      </w:r>
    </w:p>
    <w:bookmarkStart w:id="20" w:name="Xfa7fb8005ebc6e48945f937f2c92f1c3ea1971a"/>
    <w:p>
      <w:pPr>
        <w:pStyle w:val="Heading2"/>
      </w:pPr>
      <w:r>
        <w:t xml:space="preserve">Professional Architect Services — Buenos Aires, Argentina</w:t>
      </w:r>
    </w:p>
    <w:p>
      <w:pPr>
        <w:pStyle w:val="FirstParagraph"/>
      </w:pPr>
      <w:r>
        <w:t xml:space="preserve">Document Reference: QE-BA-2025-0847  |  Issued under the regulatory framework of the City of Buenos Aires, Argentina</w:t>
      </w:r>
    </w:p>
    <w:bookmarkEnd w:id="20"/>
    <w:bookmarkEnd w:id="21"/>
    <w:bookmarkStart w:id="22" w:name="prepared-by-architect-firm"/>
    <w:p>
      <w:pPr>
        <w:pStyle w:val="Heading3"/>
      </w:pPr>
      <w:r>
        <w:t xml:space="preserve">Prepared By (Architect Firm)</w:t>
      </w:r>
    </w:p>
    <w:p>
      <w:pPr>
        <w:pStyle w:val="FirstParagraph"/>
      </w:pPr>
      <w:r>
        <w:rPr>
          <w:bCs/>
          <w:b/>
        </w:rPr>
        <w:t xml:space="preserve">Estudio Arquitectónico Río de la Plata S.R.L.</w:t>
      </w:r>
    </w:p>
    <w:p>
      <w:pPr>
        <w:pStyle w:val="BodyText"/>
      </w:pPr>
      <w:r>
        <w:t xml:space="preserve">Av. Corrientes 2340, Piso 12, Of. 1204</w:t>
      </w:r>
    </w:p>
    <w:p>
      <w:pPr>
        <w:pStyle w:val="BodyText"/>
      </w:pPr>
      <w:r>
        <w:t xml:space="preserve">Buenos Aires, C1043AAB, Argentina</w:t>
      </w:r>
    </w:p>
    <w:p>
      <w:pPr>
        <w:pStyle w:val="BodyText"/>
      </w:pPr>
      <w:r>
        <w:t xml:space="preserve">CUIT: 30-71234567-8</w:t>
      </w:r>
    </w:p>
    <w:p>
      <w:pPr>
        <w:pStyle w:val="BodyText"/>
      </w:pPr>
      <w:r>
        <w:t xml:space="preserve">Matrícula Profesional: CABA Nº 14.892</w:t>
      </w:r>
    </w:p>
    <w:p>
      <w:pPr>
        <w:pStyle w:val="BodyText"/>
      </w:pPr>
      <w:r>
        <w:t xml:space="preserve">Tel: +54 11 4321-5678</w:t>
      </w:r>
    </w:p>
    <w:p>
      <w:pPr>
        <w:pStyle w:val="BodyText"/>
      </w:pPr>
      <w:r>
        <w:t xml:space="preserve">Email: proyectos@estudiorioplatra.com.ar</w:t>
      </w:r>
    </w:p>
    <w:bookmarkEnd w:id="22"/>
    <w:bookmarkStart w:id="23" w:name="prepared-for-client"/>
    <w:p>
      <w:pPr>
        <w:pStyle w:val="Heading3"/>
      </w:pPr>
      <w:r>
        <w:t xml:space="preserve">Prepared For (Client)</w:t>
      </w:r>
    </w:p>
    <w:p>
      <w:pPr>
        <w:pStyle w:val="FirstParagraph"/>
      </w:pPr>
      <w:r>
        <w:rPr>
          <w:bCs/>
          <w:b/>
        </w:rPr>
        <w:t xml:space="preserve">Señor/a: [Client Full Name]</w:t>
      </w:r>
    </w:p>
    <w:p>
      <w:pPr>
        <w:pStyle w:val="BodyText"/>
      </w:pPr>
      <w:r>
        <w:t xml:space="preserve">DNI: [XXXXXXXX]</w:t>
      </w:r>
    </w:p>
    <w:p>
      <w:pPr>
        <w:pStyle w:val="BodyText"/>
      </w:pPr>
      <w:r>
        <w:t xml:space="preserve">Address: [Street, Number, Neighborhood]</w:t>
      </w:r>
    </w:p>
    <w:p>
      <w:pPr>
        <w:pStyle w:val="BodyText"/>
      </w:pPr>
      <w:r>
        <w:t xml:space="preserve">Buenos Aires, Argentina</w:t>
      </w:r>
    </w:p>
    <w:p>
      <w:pPr>
        <w:pStyle w:val="BodyText"/>
      </w:pPr>
      <w:r>
        <w:t xml:space="preserve">Tel: +54 11 [XXXXXXXX]</w:t>
      </w:r>
    </w:p>
    <w:p>
      <w:pPr>
        <w:pStyle w:val="BodyText"/>
      </w:pPr>
      <w:r>
        <w:t xml:space="preserve">Email: [client@email.com]</w:t>
      </w:r>
    </w:p>
    <w:bookmarkEnd w:id="23"/>
    <w:bookmarkStart w:id="24" w:name="quotation-estimate-details"/>
    <w:p>
      <w:pPr>
        <w:pStyle w:val="Heading3"/>
      </w:pPr>
      <w:r>
        <w:t xml:space="preserve">Quotation Estimate Details</w:t>
      </w:r>
    </w:p>
    <w:p>
      <w:pPr>
        <w:pStyle w:val="FirstParagraph"/>
      </w:pPr>
      <w:r>
        <w:rPr>
          <w:bCs/>
          <w:b/>
        </w:rPr>
        <w:t xml:space="preserve">Date of Issue:</w:t>
      </w:r>
      <w:r>
        <w:t xml:space="preserve"> </w:t>
      </w:r>
      <w:r>
        <w:t xml:space="preserve">[DD/MM/YYYY]</w:t>
      </w:r>
    </w:p>
    <w:p>
      <w:pPr>
        <w:pStyle w:val="BodyText"/>
      </w:pPr>
      <w:r>
        <w:rPr>
          <w:bCs/>
          <w:b/>
        </w:rPr>
        <w:t xml:space="preserve">Validity Period:</w:t>
      </w:r>
      <w:r>
        <w:t xml:space="preserve"> </w:t>
      </w:r>
      <w:r>
        <w:t xml:space="preserve">30 calendar days from date of issue</w:t>
      </w:r>
    </w:p>
    <w:p>
      <w:pPr>
        <w:pStyle w:val="BodyText"/>
      </w:pPr>
      <w:r>
        <w:rPr>
          <w:bCs/>
          <w:b/>
        </w:rPr>
        <w:t xml:space="preserve">Currency:</w:t>
      </w:r>
      <w:r>
        <w:t xml:space="preserve"> </w:t>
      </w:r>
      <w:r>
        <w:t xml:space="preserve">Argentine Pesos (ARS) / US Dollars (USD)</w:t>
      </w:r>
    </w:p>
    <w:bookmarkEnd w:id="24"/>
    <w:bookmarkStart w:id="25" w:name="project-location"/>
    <w:p>
      <w:pPr>
        <w:pStyle w:val="Heading3"/>
      </w:pPr>
      <w:r>
        <w:t xml:space="preserve">Project Location</w:t>
      </w:r>
    </w:p>
    <w:p>
      <w:pPr>
        <w:pStyle w:val="FirstParagraph"/>
      </w:pPr>
      <w:r>
        <w:rPr>
          <w:bCs/>
          <w:b/>
        </w:rPr>
        <w:t xml:space="preserve">Site Address:</w:t>
      </w:r>
      <w:r>
        <w:t xml:space="preserve"> </w:t>
      </w:r>
      <w:r>
        <w:t xml:space="preserve">[Full Address]</w:t>
      </w:r>
    </w:p>
    <w:p>
      <w:pPr>
        <w:pStyle w:val="BodyText"/>
      </w:pPr>
      <w:r>
        <w:rPr>
          <w:bCs/>
          <w:b/>
        </w:rPr>
        <w:t xml:space="preserve">Neighborhood (Barrio):</w:t>
      </w:r>
      <w:r>
        <w:t xml:space="preserve"> </w:t>
      </w:r>
      <w:r>
        <w:t xml:space="preserve">[e.g., Palermo, San Telmo, Belgrano]</w:t>
      </w:r>
    </w:p>
    <w:p>
      <w:pPr>
        <w:pStyle w:val="BodyText"/>
      </w:pPr>
      <w:r>
        <w:rPr>
          <w:bCs/>
          <w:b/>
        </w:rPr>
        <w:t xml:space="preserve">City:</w:t>
      </w:r>
      <w:r>
        <w:t xml:space="preserve"> </w:t>
      </w:r>
      <w:r>
        <w:t xml:space="preserve">Buenos Aires, Argentina</w:t>
      </w:r>
    </w:p>
    <w:p>
      <w:pPr>
        <w:pStyle w:val="BodyText"/>
      </w:pPr>
      <w:r>
        <w:rPr>
          <w:bCs/>
          <w:b/>
        </w:rPr>
        <w:t xml:space="preserve">Province:</w:t>
      </w:r>
      <w:r>
        <w:t xml:space="preserve"> </w:t>
      </w:r>
      <w:r>
        <w:t xml:space="preserve">Ciudad Autónoma de Buenos Aires (CABA)</w:t>
      </w:r>
    </w:p>
    <w:bookmarkEnd w:id="25"/>
    <w:bookmarkStart w:id="26" w:name="scope-of-architect-services"/>
    <w:p>
      <w:pPr>
        <w:pStyle w:val="Heading2"/>
      </w:pPr>
      <w:r>
        <w:t xml:space="preserve">1. Scope of Architect Services</w:t>
      </w:r>
    </w:p>
    <w:p>
      <w:pPr>
        <w:pStyle w:val="FirstParagraph"/>
      </w:pPr>
      <w:r>
        <w:t xml:space="preserve">This Quotation Estimate is issued by</w:t>
      </w:r>
      <w:r>
        <w:t xml:space="preserve"> </w:t>
      </w:r>
      <w:r>
        <w:rPr>
          <w:bCs/>
          <w:b/>
        </w:rPr>
        <w:t xml:space="preserve">Estudio Arquitectónico Río de la Plata S.R.L.</w:t>
      </w:r>
      <w:r>
        <w:t xml:space="preserve">, a registered and licensed Architect firm operating in Buenos Aires, Argentina, to provide a comprehensive breakdown of professional Architect services for the project described below. All services are rendered in compliance with the</w:t>
      </w:r>
      <w:r>
        <w:t xml:space="preserve"> </w:t>
      </w:r>
      <w:r>
        <w:rPr>
          <w:iCs/>
          <w:i/>
        </w:rPr>
        <w:t xml:space="preserve">Ley de Obras Particulares</w:t>
      </w:r>
      <w:r>
        <w:t xml:space="preserve"> </w:t>
      </w:r>
      <w:r>
        <w:t xml:space="preserve">(Law 2.207) of the City of Buenos Aires, the</w:t>
      </w:r>
      <w:r>
        <w:t xml:space="preserve"> </w:t>
      </w:r>
      <w:r>
        <w:rPr>
          <w:iCs/>
          <w:i/>
        </w:rPr>
        <w:t xml:space="preserve">Código de Planeamiento Urbano</w:t>
      </w:r>
      <w:r>
        <w:t xml:space="preserve"> </w:t>
      </w:r>
      <w:r>
        <w:t xml:space="preserve">(CPU) of CABA, and the professional regulations established by the</w:t>
      </w:r>
      <w:r>
        <w:t xml:space="preserve"> </w:t>
      </w:r>
      <w:r>
        <w:rPr>
          <w:iCs/>
          <w:i/>
        </w:rPr>
        <w:t xml:space="preserve">Consejo Profesional de Arquitectura y Urbanismo de la Ciudad de Buenos Aires</w:t>
      </w:r>
      <w:r>
        <w:t xml:space="preserve"> </w:t>
      </w:r>
      <w:r>
        <w:t xml:space="preserve">(CPAU-CABA).</w:t>
      </w:r>
    </w:p>
    <w:p>
      <w:pPr>
        <w:pStyle w:val="BodyText"/>
      </w:pPr>
      <w:r>
        <w:t xml:space="preserve">The Architect services covered by this Quotation Estimate include, but are not limited to: conceptual design development, schematic design, detailed architectural drawings, structural coordination, interior design consultation, municipal permit application preparation and submission to the</w:t>
      </w:r>
      <w:r>
        <w:t xml:space="preserve"> </w:t>
      </w:r>
      <w:r>
        <w:rPr>
          <w:iCs/>
          <w:i/>
        </w:rPr>
        <w:t xml:space="preserve">Subsecretaría de Control de Obras</w:t>
      </w:r>
      <w:r>
        <w:t xml:space="preserve"> </w:t>
      </w:r>
      <w:r>
        <w:t xml:space="preserve">of the City of Buenos Aires, construction supervision, and final project delivery documentation.</w:t>
      </w:r>
    </w:p>
    <w:bookmarkEnd w:id="26"/>
    <w:bookmarkStart w:id="27"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Nº</w:t>
            </w:r>
          </w:p>
        </w:tc>
        <w:tc>
          <w:tcPr/>
          <w:p>
            <w:pPr>
              <w:pStyle w:val="Compact"/>
              <w:jc w:val="left"/>
            </w:pPr>
            <w:r>
              <w:t xml:space="preserve">Description of Architect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Initial site survey and topographic analysis in Buenos Aires, Argentina</w:t>
            </w:r>
          </w:p>
        </w:tc>
        <w:tc>
          <w:tcPr/>
          <w:p>
            <w:pPr>
              <w:pStyle w:val="Compact"/>
              <w:jc w:val="left"/>
            </w:pPr>
            <w:r>
              <w:t xml:space="preserve">Global</w:t>
            </w:r>
          </w:p>
        </w:tc>
        <w:tc>
          <w:tcPr/>
          <w:p>
            <w:pPr>
              <w:pStyle w:val="Compact"/>
              <w:jc w:val="left"/>
            </w:pPr>
            <w:r>
              <w:t xml:space="preserve">1</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Conceptual design and feasibility study (Architect)</w:t>
            </w:r>
          </w:p>
        </w:tc>
        <w:tc>
          <w:tcPr/>
          <w:p>
            <w:pPr>
              <w:pStyle w:val="Compact"/>
              <w:jc w:val="left"/>
            </w:pPr>
            <w:r>
              <w:t xml:space="preserve">Global</w:t>
            </w:r>
          </w:p>
        </w:tc>
        <w:tc>
          <w:tcPr/>
          <w:p>
            <w:pPr>
              <w:pStyle w:val="Compact"/>
              <w:jc w:val="left"/>
            </w:pPr>
            <w:r>
              <w:t xml:space="preserve">1</w:t>
            </w:r>
          </w:p>
        </w:tc>
        <w:tc>
          <w:tcPr/>
          <w:p>
            <w:pPr>
              <w:pStyle w:val="Compact"/>
              <w:jc w:val="left"/>
            </w:pPr>
            <w:r>
              <w:t xml:space="preserve">420.000,00</w:t>
            </w:r>
          </w:p>
        </w:tc>
      </w:tr>
      <w:tr>
        <w:tc>
          <w:tcPr/>
          <w:p>
            <w:pPr>
              <w:pStyle w:val="Compact"/>
              <w:jc w:val="left"/>
            </w:pPr>
            <w:r>
              <w:t xml:space="preserve">3</w:t>
            </w:r>
          </w:p>
        </w:tc>
        <w:tc>
          <w:tcPr/>
          <w:p>
            <w:pPr>
              <w:pStyle w:val="Compact"/>
              <w:jc w:val="left"/>
            </w:pPr>
            <w:r>
              <w:t xml:space="preserve">Schematic design development with 3D renderings</w:t>
            </w:r>
          </w:p>
        </w:tc>
        <w:tc>
          <w:tcPr/>
          <w:p>
            <w:pPr>
              <w:pStyle w:val="Compact"/>
              <w:jc w:val="left"/>
            </w:pPr>
            <w:r>
              <w:t xml:space="preserve">Global</w:t>
            </w:r>
          </w:p>
        </w:tc>
        <w:tc>
          <w:tcPr/>
          <w:p>
            <w:pPr>
              <w:pStyle w:val="Compact"/>
              <w:jc w:val="left"/>
            </w:pPr>
            <w:r>
              <w:t xml:space="preserve">1</w:t>
            </w:r>
          </w:p>
        </w:tc>
        <w:tc>
          <w:tcPr/>
          <w:p>
            <w:pPr>
              <w:pStyle w:val="Compact"/>
              <w:jc w:val="left"/>
            </w:pPr>
            <w:r>
              <w:t xml:space="preserve">680.000,00</w:t>
            </w:r>
          </w:p>
        </w:tc>
      </w:tr>
      <w:tr>
        <w:tc>
          <w:tcPr/>
          <w:p>
            <w:pPr>
              <w:pStyle w:val="Compact"/>
              <w:jc w:val="left"/>
            </w:pPr>
            <w:r>
              <w:t xml:space="preserve">4</w:t>
            </w:r>
          </w:p>
        </w:tc>
        <w:tc>
          <w:tcPr/>
          <w:p>
            <w:pPr>
              <w:pStyle w:val="Compact"/>
              <w:jc w:val="left"/>
            </w:pPr>
            <w:r>
              <w:t xml:space="preserve">Detailed architectural drawings (plans, elevations, sections, details)</w:t>
            </w:r>
          </w:p>
        </w:tc>
        <w:tc>
          <w:tcPr/>
          <w:p>
            <w:pPr>
              <w:pStyle w:val="Compact"/>
              <w:jc w:val="left"/>
            </w:pPr>
            <w:r>
              <w:t xml:space="preserve">Global</w:t>
            </w:r>
          </w:p>
        </w:tc>
        <w:tc>
          <w:tcPr/>
          <w:p>
            <w:pPr>
              <w:pStyle w:val="Compact"/>
              <w:jc w:val="left"/>
            </w:pPr>
            <w:r>
              <w:t xml:space="preserve">1</w:t>
            </w:r>
          </w:p>
        </w:tc>
        <w:tc>
          <w:tcPr/>
          <w:p>
            <w:pPr>
              <w:pStyle w:val="Compact"/>
              <w:jc w:val="left"/>
            </w:pPr>
            <w:r>
              <w:t xml:space="preserve">1.250.000,00</w:t>
            </w:r>
          </w:p>
        </w:tc>
      </w:tr>
      <w:tr>
        <w:tc>
          <w:tcPr/>
          <w:p>
            <w:pPr>
              <w:pStyle w:val="Compact"/>
              <w:jc w:val="left"/>
            </w:pPr>
            <w:r>
              <w:t xml:space="preserve">5</w:t>
            </w:r>
          </w:p>
        </w:tc>
        <w:tc>
          <w:tcPr/>
          <w:p>
            <w:pPr>
              <w:pStyle w:val="Compact"/>
              <w:jc w:val="left"/>
            </w:pPr>
            <w:r>
              <w:t xml:space="preserve">Structural and MEP coordination drawings</w:t>
            </w:r>
          </w:p>
        </w:tc>
        <w:tc>
          <w:tcPr/>
          <w:p>
            <w:pPr>
              <w:pStyle w:val="Compact"/>
              <w:jc w:val="left"/>
            </w:pPr>
            <w:r>
              <w:t xml:space="preserve">Global</w:t>
            </w:r>
          </w:p>
        </w:tc>
        <w:tc>
          <w:tcPr/>
          <w:p>
            <w:pPr>
              <w:pStyle w:val="Compact"/>
              <w:jc w:val="left"/>
            </w:pPr>
            <w:r>
              <w:t xml:space="preserve">1</w:t>
            </w:r>
          </w:p>
        </w:tc>
        <w:tc>
          <w:tcPr/>
          <w:p>
            <w:pPr>
              <w:pStyle w:val="Compact"/>
              <w:jc w:val="left"/>
            </w:pPr>
            <w:r>
              <w:t xml:space="preserve">540.000,00</w:t>
            </w:r>
          </w:p>
        </w:tc>
      </w:tr>
      <w:tr>
        <w:tc>
          <w:tcPr/>
          <w:p>
            <w:pPr>
              <w:pStyle w:val="Compact"/>
              <w:jc w:val="left"/>
            </w:pPr>
            <w:r>
              <w:t xml:space="preserve">6</w:t>
            </w:r>
          </w:p>
        </w:tc>
        <w:tc>
          <w:tcPr/>
          <w:p>
            <w:pPr>
              <w:pStyle w:val="Compact"/>
              <w:jc w:val="left"/>
            </w:pPr>
            <w:r>
              <w:t xml:space="preserve">Interior design and material specification package</w:t>
            </w:r>
          </w:p>
        </w:tc>
        <w:tc>
          <w:tcPr/>
          <w:p>
            <w:pPr>
              <w:pStyle w:val="Compact"/>
              <w:jc w:val="left"/>
            </w:pPr>
            <w:r>
              <w:t xml:space="preserve">Global</w:t>
            </w:r>
          </w:p>
        </w:tc>
        <w:tc>
          <w:tcPr/>
          <w:p>
            <w:pPr>
              <w:pStyle w:val="Compact"/>
              <w:jc w:val="left"/>
            </w:pPr>
            <w:r>
              <w:t xml:space="preserve">1</w:t>
            </w:r>
          </w:p>
        </w:tc>
        <w:tc>
          <w:tcPr/>
          <w:p>
            <w:pPr>
              <w:pStyle w:val="Compact"/>
              <w:jc w:val="left"/>
            </w:pPr>
            <w:r>
              <w:t xml:space="preserve">390.000,00</w:t>
            </w:r>
          </w:p>
        </w:tc>
      </w:tr>
      <w:tr>
        <w:tc>
          <w:tcPr/>
          <w:p>
            <w:pPr>
              <w:pStyle w:val="Compact"/>
              <w:jc w:val="left"/>
            </w:pPr>
            <w:r>
              <w:t xml:space="preserve">7</w:t>
            </w:r>
          </w:p>
        </w:tc>
        <w:tc>
          <w:tcPr/>
          <w:p>
            <w:pPr>
              <w:pStyle w:val="Compact"/>
              <w:jc w:val="left"/>
            </w:pPr>
            <w:r>
              <w:t xml:space="preserve">Municipal permit application and submission (CABA)</w:t>
            </w:r>
          </w:p>
        </w:tc>
        <w:tc>
          <w:tcPr/>
          <w:p>
            <w:pPr>
              <w:pStyle w:val="Compact"/>
              <w:jc w:val="left"/>
            </w:pPr>
            <w:r>
              <w:t xml:space="preserve">Global</w:t>
            </w:r>
          </w:p>
        </w:tc>
        <w:tc>
          <w:tcPr/>
          <w:p>
            <w:pPr>
              <w:pStyle w:val="Compact"/>
              <w:jc w:val="left"/>
            </w:pPr>
            <w:r>
              <w:t xml:space="preserve">1</w:t>
            </w:r>
          </w:p>
        </w:tc>
        <w:tc>
          <w:tcPr/>
          <w:p>
            <w:pPr>
              <w:pStyle w:val="Compact"/>
              <w:jc w:val="left"/>
            </w:pPr>
            <w:r>
              <w:t xml:space="preserve">275.000,00</w:t>
            </w:r>
          </w:p>
        </w:tc>
      </w:tr>
      <w:tr>
        <w:tc>
          <w:tcPr/>
          <w:p>
            <w:pPr>
              <w:pStyle w:val="Compact"/>
              <w:jc w:val="left"/>
            </w:pPr>
            <w:r>
              <w:t xml:space="preserve">8</w:t>
            </w:r>
          </w:p>
        </w:tc>
        <w:tc>
          <w:tcPr/>
          <w:p>
            <w:pPr>
              <w:pStyle w:val="Compact"/>
              <w:jc w:val="left"/>
            </w:pPr>
            <w:r>
              <w:t xml:space="preserve">Construction supervision and site visits (estimated 12 visits)</w:t>
            </w:r>
          </w:p>
        </w:tc>
        <w:tc>
          <w:tcPr/>
          <w:p>
            <w:pPr>
              <w:pStyle w:val="Compact"/>
              <w:jc w:val="left"/>
            </w:pPr>
            <w:r>
              <w:t xml:space="preserve">Visit</w:t>
            </w:r>
          </w:p>
        </w:tc>
        <w:tc>
          <w:tcPr/>
          <w:p>
            <w:pPr>
              <w:pStyle w:val="Compact"/>
              <w:jc w:val="left"/>
            </w:pPr>
            <w:r>
              <w:t xml:space="preserve">12</w:t>
            </w:r>
          </w:p>
        </w:tc>
        <w:tc>
          <w:tcPr/>
          <w:p>
            <w:pPr>
              <w:pStyle w:val="Compact"/>
              <w:jc w:val="left"/>
            </w:pPr>
            <w:r>
              <w:t xml:space="preserve">480.000,00</w:t>
            </w:r>
          </w:p>
        </w:tc>
      </w:tr>
      <w:tr>
        <w:tc>
          <w:tcPr/>
          <w:p>
            <w:pPr>
              <w:pStyle w:val="Compact"/>
              <w:jc w:val="left"/>
            </w:pPr>
            <w:r>
              <w:t xml:space="preserve">9</w:t>
            </w:r>
          </w:p>
        </w:tc>
        <w:tc>
          <w:tcPr/>
          <w:p>
            <w:pPr>
              <w:pStyle w:val="Compact"/>
              <w:jc w:val="left"/>
            </w:pPr>
            <w:r>
              <w:t xml:space="preserve">As-built documentation and final project delivery</w:t>
            </w:r>
          </w:p>
        </w:tc>
        <w:tc>
          <w:tcPr/>
          <w:p>
            <w:pPr>
              <w:pStyle w:val="Compact"/>
              <w:jc w:val="left"/>
            </w:pPr>
            <w:r>
              <w:t xml:space="preserve">Global</w:t>
            </w:r>
          </w:p>
        </w:tc>
        <w:tc>
          <w:tcPr/>
          <w:p>
            <w:pPr>
              <w:pStyle w:val="Compact"/>
              <w:jc w:val="left"/>
            </w:pPr>
            <w:r>
              <w:t xml:space="preserve">1</w:t>
            </w:r>
          </w:p>
        </w:tc>
        <w:tc>
          <w:tcPr/>
          <w:p>
            <w:pPr>
              <w:pStyle w:val="Compact"/>
              <w:jc w:val="left"/>
            </w:pPr>
            <w:r>
              <w:t xml:space="preserve">310.000,00</w:t>
            </w:r>
          </w:p>
        </w:tc>
      </w:tr>
      <w:tr>
        <w:tc>
          <w:tcPr/>
          <w:p>
            <w:pPr>
              <w:pStyle w:val="Compact"/>
              <w:jc w:val="left"/>
            </w:pPr>
            <w:r>
              <w:t xml:space="preserve">10</w:t>
            </w:r>
          </w:p>
        </w:tc>
        <w:tc>
          <w:tcPr/>
          <w:p>
            <w:pPr>
              <w:pStyle w:val="Compact"/>
              <w:jc w:val="left"/>
            </w:pPr>
            <w:r>
              <w:t xml:space="preserve">Administrative fees, printing, and digital deliverables</w:t>
            </w:r>
          </w:p>
        </w:tc>
        <w:tc>
          <w:tcPr/>
          <w:p>
            <w:pPr>
              <w:pStyle w:val="Compact"/>
              <w:jc w:val="left"/>
            </w:pPr>
            <w:r>
              <w:t xml:space="preserve">Global</w:t>
            </w:r>
          </w:p>
        </w:tc>
        <w:tc>
          <w:tcPr/>
          <w:p>
            <w:pPr>
              <w:pStyle w:val="Compact"/>
              <w:jc w:val="left"/>
            </w:pPr>
            <w:r>
              <w:t xml:space="preserve">1</w:t>
            </w:r>
          </w:p>
        </w:tc>
        <w:tc>
          <w:tcPr/>
          <w:p>
            <w:pPr>
              <w:pStyle w:val="Compact"/>
              <w:jc w:val="left"/>
            </w:pPr>
            <w:r>
              <w:t xml:space="preserve">95.000,00</w:t>
            </w:r>
          </w:p>
        </w:tc>
      </w:tr>
      <w:tr>
        <w:tc>
          <w:tcPr>
            <w:gridSpan w:val="4"/>
          </w:tcPr>
          <w:p>
            <w:pPr>
              <w:pStyle w:val="Compact"/>
              <w:jc w:val="right"/>
            </w:pPr>
            <w:r>
              <w:t xml:space="preserve">SUBTOTAL (Architect Professional Fees)</w:t>
            </w:r>
          </w:p>
        </w:tc>
        <w:tc>
          <w:tcPr/>
          <w:p>
            <w:pPr>
              <w:pStyle w:val="Compact"/>
              <w:jc w:val="left"/>
            </w:pPr>
            <w:r>
              <w:t xml:space="preserve">4.625.000,00</w:t>
            </w:r>
          </w:p>
        </w:tc>
      </w:tr>
      <w:tr>
        <w:tc>
          <w:tcPr>
            <w:gridSpan w:val="4"/>
          </w:tcPr>
          <w:p>
            <w:pPr>
              <w:pStyle w:val="Compact"/>
              <w:jc w:val="right"/>
            </w:pPr>
            <w:r>
              <w:t xml:space="preserve">IVA (21% — Argentine Value Added Tax)</w:t>
            </w:r>
          </w:p>
        </w:tc>
        <w:tc>
          <w:tcPr/>
          <w:p>
            <w:pPr>
              <w:pStyle w:val="Compact"/>
              <w:jc w:val="left"/>
            </w:pPr>
            <w:r>
              <w:t xml:space="preserve">971.250,00</w:t>
            </w:r>
          </w:p>
        </w:tc>
      </w:tr>
      <w:tr>
        <w:tc>
          <w:tcPr>
            <w:gridSpan w:val="4"/>
          </w:tcPr>
          <w:p>
            <w:pPr>
              <w:pStyle w:val="Compact"/>
              <w:jc w:val="right"/>
            </w:pPr>
            <w:r>
              <w:t xml:space="preserve">TOTAL QUOTATION ESTIMATE (ARS)</w:t>
            </w:r>
          </w:p>
        </w:tc>
        <w:tc>
          <w:tcPr/>
          <w:p>
            <w:pPr>
              <w:pStyle w:val="Compact"/>
              <w:jc w:val="left"/>
            </w:pPr>
            <w:r>
              <w:t xml:space="preserve">5.596.250,00</w:t>
            </w:r>
          </w:p>
        </w:tc>
      </w:tr>
      <w:tr>
        <w:tc>
          <w:tcPr>
            <w:gridSpan w:val="4"/>
          </w:tcPr>
          <w:p>
            <w:pPr>
              <w:pStyle w:val="Compact"/>
              <w:jc w:val="right"/>
            </w:pPr>
            <w:r>
              <w:t xml:space="preserve">TOTAL QUOTATION ESTIMATE (USD, approx. at ARS 1.050/USD)</w:t>
            </w:r>
          </w:p>
        </w:tc>
        <w:tc>
          <w:tcPr/>
          <w:p>
            <w:pPr>
              <w:pStyle w:val="Compact"/>
              <w:jc w:val="left"/>
            </w:pPr>
            <w:r>
              <w:t xml:space="preserve">5.329,76</w:t>
            </w:r>
          </w:p>
        </w:tc>
      </w:tr>
    </w:tbl>
    <w:bookmarkEnd w:id="27"/>
    <w:bookmarkStart w:id="28" w:name="payment-schedule"/>
    <w:p>
      <w:pPr>
        <w:pStyle w:val="Heading2"/>
      </w:pPr>
      <w:r>
        <w:t xml:space="preserve">3. Payment Schedule</w:t>
      </w:r>
    </w:p>
    <w:p>
      <w:pPr>
        <w:pStyle w:val="FirstParagraph"/>
      </w:pPr>
      <w:r>
        <w:t xml:space="preserve">This Quotation Estimate for Architect services in Buenos Aires, Argentina, shall be settled according to the following milestone-based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(ARS)</w:t>
            </w:r>
          </w:p>
        </w:tc>
        <w:tc>
          <w:tcPr/>
          <w:p>
            <w:pPr>
              <w:pStyle w:val="Compact"/>
              <w:jc w:val="left"/>
            </w:pPr>
            <w:r>
              <w:t xml:space="preserve">Trigger</w:t>
            </w:r>
          </w:p>
        </w:tc>
      </w:tr>
      <w:tr>
        <w:tc>
          <w:tcPr/>
          <w:p>
            <w:pPr>
              <w:pStyle w:val="Compact"/>
              <w:jc w:val="left"/>
            </w:pPr>
            <w:r>
              <w:t xml:space="preserve">Advance payment upon contract signing</w:t>
            </w:r>
          </w:p>
        </w:tc>
        <w:tc>
          <w:tcPr/>
          <w:p>
            <w:pPr>
              <w:pStyle w:val="Compact"/>
              <w:jc w:val="left"/>
            </w:pPr>
            <w:r>
              <w:t xml:space="preserve">30%</w:t>
            </w:r>
          </w:p>
        </w:tc>
        <w:tc>
          <w:tcPr/>
          <w:p>
            <w:pPr>
              <w:pStyle w:val="Compact"/>
              <w:jc w:val="left"/>
            </w:pPr>
            <w:r>
              <w:t xml:space="preserve">1.678.875,00</w:t>
            </w:r>
          </w:p>
        </w:tc>
        <w:tc>
          <w:tcPr/>
          <w:p>
            <w:pPr>
              <w:pStyle w:val="Compact"/>
              <w:jc w:val="left"/>
            </w:pPr>
            <w:r>
              <w:t xml:space="preserve">Execution of professional services contract</w:t>
            </w:r>
          </w:p>
        </w:tc>
      </w:tr>
      <w:tr>
        <w:tc>
          <w:tcPr/>
          <w:p>
            <w:pPr>
              <w:pStyle w:val="Compact"/>
              <w:jc w:val="left"/>
            </w:pPr>
            <w:r>
              <w:t xml:space="preserve">Upon approval of schematic design</w:t>
            </w:r>
          </w:p>
        </w:tc>
        <w:tc>
          <w:tcPr/>
          <w:p>
            <w:pPr>
              <w:pStyle w:val="Compact"/>
              <w:jc w:val="left"/>
            </w:pPr>
            <w:r>
              <w:t xml:space="preserve">25%</w:t>
            </w:r>
          </w:p>
        </w:tc>
        <w:tc>
          <w:tcPr/>
          <w:p>
            <w:pPr>
              <w:pStyle w:val="Compact"/>
              <w:jc w:val="left"/>
            </w:pPr>
            <w:r>
              <w:t xml:space="preserve">1.399.062,50</w:t>
            </w:r>
          </w:p>
        </w:tc>
        <w:tc>
          <w:tcPr/>
          <w:p>
            <w:pPr>
              <w:pStyle w:val="Compact"/>
              <w:jc w:val="left"/>
            </w:pPr>
            <w:r>
              <w:t xml:space="preserve">Client written approval of design phase</w:t>
            </w:r>
          </w:p>
        </w:tc>
      </w:tr>
      <w:tr>
        <w:tc>
          <w:tcPr/>
          <w:p>
            <w:pPr>
              <w:pStyle w:val="Compact"/>
              <w:jc w:val="left"/>
            </w:pPr>
            <w:r>
              <w:t xml:space="preserve">Upon submission of permit application to CABA</w:t>
            </w:r>
          </w:p>
        </w:tc>
        <w:tc>
          <w:tcPr/>
          <w:p>
            <w:pPr>
              <w:pStyle w:val="Compact"/>
              <w:jc w:val="left"/>
            </w:pPr>
            <w:r>
              <w:t xml:space="preserve">25%</w:t>
            </w:r>
          </w:p>
        </w:tc>
        <w:tc>
          <w:tcPr/>
          <w:p>
            <w:pPr>
              <w:pStyle w:val="Compact"/>
              <w:jc w:val="left"/>
            </w:pPr>
            <w:r>
              <w:t xml:space="preserve">1.399.062,50</w:t>
            </w:r>
          </w:p>
        </w:tc>
        <w:tc>
          <w:tcPr/>
          <w:p>
            <w:pPr>
              <w:pStyle w:val="Compact"/>
              <w:jc w:val="left"/>
            </w:pPr>
            <w:r>
              <w:t xml:space="preserve">Receipt of municipal filing confirmation</w:t>
            </w:r>
          </w:p>
        </w:tc>
      </w:tr>
      <w:tr>
        <w:tc>
          <w:tcPr/>
          <w:p>
            <w:pPr>
              <w:pStyle w:val="Compact"/>
              <w:jc w:val="left"/>
            </w:pPr>
            <w:r>
              <w:t xml:space="preserve">Upon completion of construction supervision</w:t>
            </w:r>
          </w:p>
        </w:tc>
        <w:tc>
          <w:tcPr/>
          <w:p>
            <w:pPr>
              <w:pStyle w:val="Compact"/>
              <w:jc w:val="left"/>
            </w:pPr>
            <w:r>
              <w:t xml:space="preserve">15%</w:t>
            </w:r>
          </w:p>
        </w:tc>
        <w:tc>
          <w:tcPr/>
          <w:p>
            <w:pPr>
              <w:pStyle w:val="Compact"/>
              <w:jc w:val="left"/>
            </w:pPr>
            <w:r>
              <w:t xml:space="preserve">839.437,50</w:t>
            </w:r>
          </w:p>
        </w:tc>
        <w:tc>
          <w:tcPr/>
          <w:p>
            <w:pPr>
              <w:pStyle w:val="Compact"/>
              <w:jc w:val="left"/>
            </w:pPr>
            <w:r>
              <w:t xml:space="preserve">Final site visit and sign-off</w:t>
            </w:r>
          </w:p>
        </w:tc>
      </w:tr>
      <w:tr>
        <w:tc>
          <w:tcPr/>
          <w:p>
            <w:pPr>
              <w:pStyle w:val="Compact"/>
              <w:jc w:val="left"/>
            </w:pPr>
            <w:r>
              <w:t xml:space="preserve">Upon delivery of as-built documentation</w:t>
            </w:r>
          </w:p>
        </w:tc>
        <w:tc>
          <w:tcPr/>
          <w:p>
            <w:pPr>
              <w:pStyle w:val="Compact"/>
              <w:jc w:val="left"/>
            </w:pPr>
            <w:r>
              <w:t xml:space="preserve">5%</w:t>
            </w:r>
          </w:p>
        </w:tc>
        <w:tc>
          <w:tcPr/>
          <w:p>
            <w:pPr>
              <w:pStyle w:val="Compact"/>
              <w:jc w:val="left"/>
            </w:pPr>
            <w:r>
              <w:t xml:space="preserve">279.812,50</w:t>
            </w:r>
          </w:p>
        </w:tc>
        <w:tc>
          <w:tcPr/>
          <w:p>
            <w:pPr>
              <w:pStyle w:val="Compact"/>
              <w:jc w:val="left"/>
            </w:pPr>
            <w:r>
              <w:t xml:space="preserve">Handover of complete project file</w:t>
            </w:r>
          </w:p>
        </w:tc>
      </w:tr>
    </w:tbl>
    <w:bookmarkEnd w:id="28"/>
    <w:bookmarkStart w:id="29"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After this period, the Architect firm reserves the right to revise pricing due to market fluctuations in Buenos Aires, Argentina.</w:t>
      </w:r>
    </w:p>
    <w:p>
      <w:pPr>
        <w:numPr>
          <w:ilvl w:val="0"/>
          <w:numId w:val="1001"/>
        </w:numPr>
        <w:pStyle w:val="Compact"/>
      </w:pPr>
      <w:r>
        <w:rPr>
          <w:bCs/>
          <w:b/>
        </w:rPr>
        <w:t xml:space="preserve">Scope Limitations:</w:t>
      </w:r>
      <w:r>
        <w:t xml:space="preserve"> </w:t>
      </w:r>
      <w:r>
        <w:t xml:space="preserve">The Architect services described herein do not include civil works, material procurement, or third-party engineering fees (structural, electrical, hydraulic) unless explicitly stated. Additional services will be subject to a supplementary Quotation Estimate.</w:t>
      </w:r>
    </w:p>
    <w:p>
      <w:pPr>
        <w:numPr>
          <w:ilvl w:val="0"/>
          <w:numId w:val="1001"/>
        </w:numPr>
        <w:pStyle w:val="Compact"/>
      </w:pPr>
      <w:r>
        <w:rPr>
          <w:bCs/>
          <w:b/>
        </w:rPr>
        <w:t xml:space="preserve">Revisions:</w:t>
      </w:r>
      <w:r>
        <w:t xml:space="preserve"> </w:t>
      </w:r>
      <w:r>
        <w:t xml:space="preserve">The Quotation Estimate includes up to three (3) rounds of design revisions per phase. Additional revisions will be billed at the Architect's hourly rate of ARS 12.000,00 per hour.</w:t>
      </w:r>
    </w:p>
    <w:p>
      <w:pPr>
        <w:numPr>
          <w:ilvl w:val="0"/>
          <w:numId w:val="1001"/>
        </w:numPr>
        <w:pStyle w:val="Compact"/>
      </w:pPr>
      <w:r>
        <w:rPr>
          <w:bCs/>
          <w:b/>
        </w:rPr>
        <w:t xml:space="preserve">Regulatory Compliance:</w:t>
      </w:r>
      <w:r>
        <w:t xml:space="preserve"> </w:t>
      </w:r>
      <w:r>
        <w:t xml:space="preserve">All Architect deliverables shall comply with the urban planning regulations of the Ciudad Autónoma de Buenos Aires, including setback requirements, height restrictions, and accessibility standards mandated by Argentine national law.</w:t>
      </w:r>
    </w:p>
    <w:p>
      <w:pPr>
        <w:numPr>
          <w:ilvl w:val="0"/>
          <w:numId w:val="1001"/>
        </w:numPr>
        <w:pStyle w:val="Compact"/>
      </w:pPr>
      <w:r>
        <w:rPr>
          <w:bCs/>
          <w:b/>
        </w:rPr>
        <w:t xml:space="preserve">Intellectual Property:</w:t>
      </w:r>
      <w:r>
        <w:t xml:space="preserve"> </w:t>
      </w:r>
      <w:r>
        <w:t xml:space="preserve">All design documents, drawings, and 3D models produced by the Architect firm remain the intellectual property of Estudio Arquitectónico Río de la Plata S.R.L. until full payment is received. Upon final settlement, the client receives a non-exclusive license to use the documents for the specific project in Buenos Aires, Argentina.</w:t>
      </w:r>
    </w:p>
    <w:p>
      <w:pPr>
        <w:numPr>
          <w:ilvl w:val="0"/>
          <w:numId w:val="1001"/>
        </w:numPr>
        <w:pStyle w:val="Compact"/>
      </w:pPr>
      <w:r>
        <w:rPr>
          <w:bCs/>
          <w:b/>
        </w:rPr>
        <w:t xml:space="preserve">Confidentiality:</w:t>
      </w:r>
      <w:r>
        <w:t xml:space="preserve"> </w:t>
      </w:r>
      <w:r>
        <w:t xml:space="preserve">Both parties agree to maintain strict confidentiality regarding project details, site information, and commercial terms outlined in this Quotation Estimate.</w:t>
      </w:r>
    </w:p>
    <w:p>
      <w:pPr>
        <w:numPr>
          <w:ilvl w:val="0"/>
          <w:numId w:val="1001"/>
        </w:numPr>
        <w:pStyle w:val="Compact"/>
      </w:pPr>
      <w:r>
        <w:rPr>
          <w:bCs/>
          <w:b/>
        </w:rPr>
        <w:t xml:space="preserve">Dispute Resolution:</w:t>
      </w:r>
      <w:r>
        <w:t xml:space="preserve"> </w:t>
      </w:r>
      <w:r>
        <w:t xml:space="preserve">Any dispute arising from this Quotation Estimate or the subsequent professional services contract shall be resolved through mediation before the CPAU-CABA, and failing that, through the competent civil courts of the City of Buenos Aires, Argentina.</w:t>
      </w:r>
    </w:p>
    <w:p>
      <w:pPr>
        <w:numPr>
          <w:ilvl w:val="0"/>
          <w:numId w:val="1001"/>
        </w:numPr>
        <w:pStyle w:val="Compact"/>
      </w:pPr>
      <w:r>
        <w:rPr>
          <w:bCs/>
          <w:b/>
        </w:rPr>
        <w:t xml:space="preserve">Tax Obligations:</w:t>
      </w:r>
      <w:r>
        <w:t xml:space="preserve"> </w:t>
      </w:r>
      <w:r>
        <w:t xml:space="preserve">All amounts are subject to Argentine tax regulations. The Architect firm will issue the corresponding</w:t>
      </w:r>
      <w:r>
        <w:t xml:space="preserve"> </w:t>
      </w:r>
      <w:r>
        <w:rPr>
          <w:iCs/>
          <w:i/>
        </w:rPr>
        <w:t xml:space="preserve">Factura A</w:t>
      </w:r>
      <w:r>
        <w:t xml:space="preserve"> </w:t>
      </w:r>
      <w:r>
        <w:t xml:space="preserve">(invoice) in compliance with AFIP (Administración Federal de Ingresos Públicos) requirements.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regulatory changes in Buenos Aires, Argentina.</w:t>
      </w:r>
    </w:p>
    <w:bookmarkEnd w:id="29"/>
    <w:bookmarkStart w:id="30" w:name="acceptance-and-authorization"/>
    <w:p>
      <w:pPr>
        <w:pStyle w:val="Heading2"/>
      </w:pPr>
      <w:r>
        <w:t xml:space="preserve">5. Acceptance and Authorization</w:t>
      </w:r>
    </w:p>
    <w:p>
      <w:pPr>
        <w:pStyle w:val="FirstParagraph"/>
      </w:pPr>
      <w:r>
        <w:t xml:space="preserve">By signing below, the client acknowledges receipt of this Quotation Estimate for Architect services in Buenos Aires, Argentina, and agrees to the terms, conditions, and pricing outlined herein. This signature constitutes a binding acceptance of the Quotation Estimate and authorizes the Architect firm to proceed with the project upon execution of the formal professional services contract.</w:t>
      </w:r>
    </w:p>
    <w:p>
      <w:pPr>
        <w:pStyle w:val="BodyText"/>
      </w:pPr>
      <w:r>
        <w:rPr>
          <w:bCs/>
          <w:b/>
        </w:rPr>
        <w:t xml:space="preserve">Client Signature</w:t>
      </w:r>
      <w:r>
        <w:br/>
      </w:r>
      <w:r>
        <w:t xml:space="preserve">Name: ______________________________</w:t>
      </w:r>
      <w:r>
        <w:br/>
      </w:r>
      <w:r>
        <w:t xml:space="preserve">DNI: ______________________________</w:t>
      </w:r>
      <w:r>
        <w:br/>
      </w:r>
      <w:r>
        <w:t xml:space="preserve">Date: ______________________________</w:t>
      </w:r>
    </w:p>
    <w:p>
      <w:pPr>
        <w:pStyle w:val="BodyText"/>
      </w:pPr>
      <w:r>
        <w:rPr>
          <w:bCs/>
          <w:b/>
        </w:rPr>
        <w:t xml:space="preserve">Architect / Firm Representative</w:t>
      </w:r>
      <w:r>
        <w:br/>
      </w:r>
      <w:r>
        <w:t xml:space="preserve">Name: Arq. [Full Name]</w:t>
      </w:r>
      <w:r>
        <w:br/>
      </w:r>
      <w:r>
        <w:t xml:space="preserve">Matrícula CPAU-CABA: Nº 14.892</w:t>
      </w:r>
      <w:r>
        <w:br/>
      </w:r>
      <w:r>
        <w:t xml:space="preserve">Date: ______________________________</w:t>
      </w:r>
    </w:p>
    <w:p>
      <w:pPr>
        <w:pStyle w:val="BodyText"/>
      </w:pPr>
      <w:r>
        <w:rPr>
          <w:bCs/>
          <w:b/>
        </w:rPr>
        <w:t xml:space="preserve">Estudio Arquitectónico Río de la Plata S.R.L.</w:t>
      </w:r>
      <w:r>
        <w:t xml:space="preserve"> </w:t>
      </w:r>
      <w:r>
        <w:t xml:space="preserve">— Quotation Estimate QE-BA-2025-0847</w:t>
      </w:r>
    </w:p>
    <w:p>
      <w:pPr>
        <w:pStyle w:val="BodyText"/>
      </w:pPr>
      <w:r>
        <w:t xml:space="preserve">Av. Corrientes 2340, Piso 12, Of. 1204 — Buenos Aires, C1043AAB, Argentina</w:t>
      </w:r>
    </w:p>
    <w:p>
      <w:pPr>
        <w:pStyle w:val="BodyText"/>
      </w:pPr>
      <w:r>
        <w:t xml:space="preserve">This Quotation Estimate document was prepared in accordance with the professional standards of the Architect profession in the City of Buenos Aires, Argentina. All services are subject to the regulations of the CPAU-CABA and the applicable Argentine national and municipal legislation.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Buenos Aires, Argentina</dc:title>
  <dc:creator/>
  <dc:language>en</dc:language>
  <cp:keywords/>
  <dcterms:created xsi:type="dcterms:W3CDTF">2026-10-10T01:54:50Z</dcterms:created>
  <dcterms:modified xsi:type="dcterms:W3CDTF">2026-10-10T01:54:50Z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