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Architect</w:t>
      </w:r>
      <w:r>
        <w:t xml:space="preserve"> </w:t>
      </w:r>
      <w:r>
        <w:t xml:space="preserve">Services</w:t>
      </w:r>
      <w:r>
        <w:t xml:space="preserve"> </w:t>
      </w:r>
      <w:r>
        <w:t xml:space="preserve">-</w:t>
      </w:r>
      <w:r>
        <w:t xml:space="preserve"> </w:t>
      </w:r>
      <w:r>
        <w:t xml:space="preserve">Bangladesh</w:t>
      </w:r>
      <w:r>
        <w:t xml:space="preserve"> </w:t>
      </w:r>
      <w:r>
        <w:t xml:space="preserve">Dhaka</w:t>
      </w:r>
    </w:p>
    <w:p>
      <w:pPr>
        <w:pStyle w:val="FirstParagraph"/>
      </w:pPr>
      <w:r>
        <w:t xml:space="preserve">Official Document</w:t>
      </w:r>
    </w:p>
    <w:bookmarkStart w:id="20" w:name="quotation-estimate"/>
    <w:p>
      <w:pPr>
        <w:pStyle w:val="Heading1"/>
      </w:pPr>
      <w:r>
        <w:t xml:space="preserve">Quotation Estimate</w:t>
      </w:r>
    </w:p>
    <w:p>
      <w:pPr>
        <w:pStyle w:val="FirstParagraph"/>
      </w:pPr>
      <w:r>
        <w:t xml:space="preserve">Professional Architect Services — Bangladesh Dhaka</w:t>
      </w:r>
    </w:p>
    <w:p>
      <w:pPr>
        <w:pStyle w:val="BodyText"/>
      </w:pPr>
      <w:r>
        <w:t xml:space="preserve">Quotation Reference No: QE/BDK/2025/0472</w:t>
      </w:r>
    </w:p>
    <w:bookmarkEnd w:id="20"/>
    <w:p>
      <w:pPr>
        <w:pStyle w:val="BodyText"/>
      </w:pPr>
      <w:r>
        <w:rPr>
          <w:bCs/>
          <w:b/>
        </w:rPr>
        <w:t xml:space="preserve">Prepared By:</w:t>
      </w:r>
      <w:r>
        <w:br/>
      </w:r>
      <w:r>
        <w:t xml:space="preserve">Dhaka Architectural Design Studio Ltd.</w:t>
      </w:r>
      <w:r>
        <w:br/>
      </w:r>
      <w:r>
        <w:t xml:space="preserve">House 42, Road 11, Banani, Dhaka-1213, Bangladesh</w:t>
      </w:r>
      <w:r>
        <w:br/>
      </w:r>
      <w:r>
        <w:t xml:space="preserve">Phone: +880-2-8812345 | Email: info@dhakaarchstudio.com.bd</w:t>
      </w:r>
      <w:r>
        <w:br/>
      </w:r>
      <w:r>
        <w:t xml:space="preserve">License No: BCI/Arch/2019/0847</w:t>
      </w:r>
    </w:p>
    <w:p>
      <w:pPr>
        <w:pStyle w:val="BodyText"/>
      </w:pPr>
      <w:r>
        <w:rPr>
          <w:bCs/>
          <w:b/>
        </w:rPr>
        <w:t xml:space="preserve">Date of Issue:</w:t>
      </w:r>
      <w:r>
        <w:t xml:space="preserve"> </w:t>
      </w:r>
      <w:r>
        <w:t xml:space="preserve">15 June 2025</w:t>
      </w:r>
      <w:r>
        <w:br/>
      </w:r>
      <w:r>
        <w:rPr>
          <w:bCs/>
          <w:b/>
        </w:rPr>
        <w:t xml:space="preserve">Quotation Valid Until:</w:t>
      </w:r>
      <w:r>
        <w:t xml:space="preserve"> </w:t>
      </w:r>
      <w:r>
        <w:t xml:space="preserve">15 July 2025</w:t>
      </w:r>
      <w:r>
        <w:br/>
      </w:r>
      <w:r>
        <w:rPr>
          <w:bCs/>
          <w:b/>
        </w:rPr>
        <w:t xml:space="preserve">Prepared For:</w:t>
      </w:r>
      <w:r>
        <w:t xml:space="preserve"> </w:t>
      </w:r>
      <w:r>
        <w:t xml:space="preserve">Mr. Rafiqul Islam</w:t>
      </w:r>
      <w:r>
        <w:br/>
      </w:r>
      <w:r>
        <w:rPr>
          <w:bCs/>
          <w:b/>
        </w:rPr>
        <w:t xml:space="preserve">Client Address:</w:t>
      </w:r>
      <w:r>
        <w:t xml:space="preserve"> </w:t>
      </w:r>
      <w:r>
        <w:t xml:space="preserve">Gulshan-2, Dhaka-1212, Bangladesh</w:t>
      </w:r>
    </w:p>
    <w:bookmarkStart w:id="21" w:name="project-overview"/>
    <w:p>
      <w:pPr>
        <w:pStyle w:val="Heading2"/>
      </w:pPr>
      <w:r>
        <w:t xml:space="preserve">1. Project Overview</w:t>
      </w:r>
    </w:p>
    <w:p>
      <w:pPr>
        <w:pStyle w:val="FirstParagraph"/>
      </w:pPr>
      <w:r>
        <w:t xml:space="preserve">This Quotation Estimate is issued by Dhaka Architectural Design Studio Ltd. for the provision of comprehensive Architect services for the design, planning, and construction supervision of a residential and commercial mixed-use building located in the Gulshan area of Bangladesh Dhaka. The project encompasses a ground floor plus four (4) upper floors with a total built-up area of approximately 12,500 square feet. The Architect will be responsible for all phases of design development, statutory compliance with the Dhaka City Corporation (DCC) and the Bangladesh National Building Code (BNBC), and on-site construction supervision throughout the project duration.</w:t>
      </w:r>
    </w:p>
    <w:bookmarkEnd w:id="21"/>
    <w:bookmarkStart w:id="22" w:name="scope-of-architect-services"/>
    <w:p>
      <w:pPr>
        <w:pStyle w:val="Heading2"/>
      </w:pPr>
      <w:r>
        <w:t xml:space="preserve">2. Scope of Architect Services</w:t>
      </w:r>
    </w:p>
    <w:p>
      <w:pPr>
        <w:pStyle w:val="FirstParagraph"/>
      </w:pPr>
      <w:r>
        <w:t xml:space="preserve">The following scope of work is included within this Quotation Estimate for the Architect engagement in Bangladesh Dhaka:</w:t>
      </w:r>
    </w:p>
    <w:p>
      <w:pPr>
        <w:numPr>
          <w:ilvl w:val="0"/>
          <w:numId w:val="1001"/>
        </w:numPr>
        <w:pStyle w:val="Compact"/>
      </w:pPr>
      <w:r>
        <w:rPr>
          <w:bCs/>
          <w:b/>
        </w:rPr>
        <w:t xml:space="preserve">Concept Design &amp; Feasibility Study:</w:t>
      </w:r>
      <w:r>
        <w:t xml:space="preserve"> </w:t>
      </w:r>
      <w:r>
        <w:t xml:space="preserve">Initial site analysis, zoning verification with DCC, conceptual massing studies, and feasibility assessment for the Bangladesh Dhaka location.</w:t>
      </w:r>
    </w:p>
    <w:p>
      <w:pPr>
        <w:numPr>
          <w:ilvl w:val="0"/>
          <w:numId w:val="1001"/>
        </w:numPr>
        <w:pStyle w:val="Compact"/>
      </w:pPr>
      <w:r>
        <w:rPr>
          <w:bCs/>
          <w:b/>
        </w:rPr>
        <w:t xml:space="preserve">Schematic Design:</w:t>
      </w:r>
      <w:r>
        <w:t xml:space="preserve"> </w:t>
      </w:r>
      <w:r>
        <w:t xml:space="preserve">Development of floor plans, elevations, sections, and 3D renderings for client approval. Includes two (2) revision cycles.</w:t>
      </w:r>
    </w:p>
    <w:p>
      <w:pPr>
        <w:numPr>
          <w:ilvl w:val="0"/>
          <w:numId w:val="1001"/>
        </w:numPr>
        <w:pStyle w:val="Compact"/>
      </w:pPr>
      <w:r>
        <w:rPr>
          <w:bCs/>
          <w:b/>
        </w:rPr>
        <w:t xml:space="preserve">Design Development:</w:t>
      </w:r>
      <w:r>
        <w:t xml:space="preserve"> </w:t>
      </w:r>
      <w:r>
        <w:t xml:space="preserve">Detailed architectural drawings, material specifications, structural coordination, MEP (Mechanical, Electrical, Plumbing) coordination, and landscape integration.</w:t>
      </w:r>
    </w:p>
    <w:p>
      <w:pPr>
        <w:numPr>
          <w:ilvl w:val="0"/>
          <w:numId w:val="1001"/>
        </w:numPr>
        <w:pStyle w:val="Compact"/>
      </w:pPr>
      <w:r>
        <w:rPr>
          <w:bCs/>
          <w:b/>
        </w:rPr>
        <w:t xml:space="preserve">Construction Documentation:</w:t>
      </w:r>
      <w:r>
        <w:t xml:space="preserve"> </w:t>
      </w:r>
      <w:r>
        <w:t xml:space="preserve">Full set of construction drawings including working drawings, detail drawings, specifications, and BOQ (Bill of Quantities) preparation.</w:t>
      </w:r>
    </w:p>
    <w:p>
      <w:pPr>
        <w:numPr>
          <w:ilvl w:val="0"/>
          <w:numId w:val="1001"/>
        </w:numPr>
        <w:pStyle w:val="Compact"/>
      </w:pPr>
      <w:r>
        <w:rPr>
          <w:bCs/>
          <w:b/>
        </w:rPr>
        <w:t xml:space="preserve">Statutory Approvals:</w:t>
      </w:r>
      <w:r>
        <w:t xml:space="preserve"> </w:t>
      </w:r>
      <w:r>
        <w:t xml:space="preserve">Preparation and submission of all necessary documents to DCC, BNBC, and relevant Bangladesh Dhaka municipal authorities for building permit and completion certificate.</w:t>
      </w:r>
    </w:p>
    <w:p>
      <w:pPr>
        <w:numPr>
          <w:ilvl w:val="0"/>
          <w:numId w:val="1001"/>
        </w:numPr>
        <w:pStyle w:val="Compact"/>
      </w:pPr>
      <w:r>
        <w:rPr>
          <w:bCs/>
          <w:b/>
        </w:rPr>
        <w:t xml:space="preserve">Tender Support:</w:t>
      </w:r>
      <w:r>
        <w:t xml:space="preserve"> </w:t>
      </w:r>
      <w:r>
        <w:t xml:space="preserve">Preparation of tender documents, evaluation of contractor bids, and recommendation for the main construction contractor.</w:t>
      </w:r>
    </w:p>
    <w:p>
      <w:pPr>
        <w:numPr>
          <w:ilvl w:val="0"/>
          <w:numId w:val="1001"/>
        </w:numPr>
        <w:pStyle w:val="Compact"/>
      </w:pPr>
      <w:r>
        <w:rPr>
          <w:bCs/>
          <w:b/>
        </w:rPr>
        <w:t xml:space="preserve">Construction Supervision:</w:t>
      </w:r>
      <w:r>
        <w:t xml:space="preserve"> </w:t>
      </w:r>
      <w:r>
        <w:t xml:space="preserve">Weekly site visits, quality control, progress monitoring, and coordination with the main contractor for a period of 18 months.</w:t>
      </w:r>
    </w:p>
    <w:p>
      <w:pPr>
        <w:numPr>
          <w:ilvl w:val="0"/>
          <w:numId w:val="1001"/>
        </w:numPr>
        <w:pStyle w:val="Compact"/>
      </w:pPr>
      <w:r>
        <w:rPr>
          <w:bCs/>
          <w:b/>
        </w:rPr>
        <w:t xml:space="preserve">As-Built Documentation:</w:t>
      </w:r>
      <w:r>
        <w:t xml:space="preserve"> </w:t>
      </w:r>
      <w:r>
        <w:t xml:space="preserve">Preparation of final as-built drawings upon project completion.</w:t>
      </w:r>
    </w:p>
    <w:bookmarkEnd w:id="22"/>
    <w:bookmarkStart w:id="23" w:name="cost-breakdown-fee-structure"/>
    <w:p>
      <w:pPr>
        <w:pStyle w:val="Heading2"/>
      </w:pPr>
      <w:r>
        <w:t xml:space="preserve">3. Cost Breakdown &amp; Fee Structure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Sr. No.</w:t>
            </w:r>
          </w:p>
        </w:tc>
        <w:tc>
          <w:tcPr/>
          <w:p>
            <w:pPr>
              <w:pStyle w:val="Compact"/>
              <w:jc w:val="left"/>
            </w:pPr>
            <w:r>
              <w:t xml:space="preserve">Service Item</w:t>
            </w:r>
          </w:p>
        </w:tc>
        <w:tc>
          <w:tcPr/>
          <w:p>
            <w:pPr>
              <w:pStyle w:val="Compact"/>
              <w:jc w:val="left"/>
            </w:pPr>
            <w:r>
              <w:t xml:space="preserve">Unit</w:t>
            </w:r>
          </w:p>
        </w:tc>
        <w:tc>
          <w:tcPr/>
          <w:p>
            <w:pPr>
              <w:pStyle w:val="Compact"/>
              <w:jc w:val="left"/>
            </w:pPr>
            <w:r>
              <w:t xml:space="preserve">Quantity</w:t>
            </w:r>
          </w:p>
        </w:tc>
        <w:tc>
          <w:tcPr/>
          <w:p>
            <w:pPr>
              <w:pStyle w:val="Compact"/>
              <w:jc w:val="left"/>
            </w:pPr>
            <w:r>
              <w:t xml:space="preserve">Rate (BDT)</w:t>
            </w:r>
          </w:p>
        </w:tc>
        <w:tc>
          <w:tcPr/>
          <w:p>
            <w:pPr>
              <w:pStyle w:val="Compact"/>
              <w:jc w:val="left"/>
            </w:pPr>
            <w:r>
              <w:t xml:space="preserve">Amount (BDT)</w:t>
            </w:r>
          </w:p>
        </w:tc>
      </w:tr>
      <w:tr>
        <w:tc>
          <w:tcPr/>
          <w:p>
            <w:pPr>
              <w:pStyle w:val="Compact"/>
              <w:jc w:val="left"/>
            </w:pPr>
            <w:r>
              <w:t xml:space="preserve">1</w:t>
            </w:r>
          </w:p>
        </w:tc>
        <w:tc>
          <w:tcPr/>
          <w:p>
            <w:pPr>
              <w:pStyle w:val="Compact"/>
              <w:jc w:val="left"/>
            </w:pPr>
            <w:r>
              <w:t xml:space="preserve">Concept Design &amp; Feasibility Study</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2</w:t>
            </w:r>
          </w:p>
        </w:tc>
        <w:tc>
          <w:tcPr/>
          <w:p>
            <w:pPr>
              <w:pStyle w:val="Compact"/>
              <w:jc w:val="left"/>
            </w:pPr>
            <w:r>
              <w:t xml:space="preserve">Schematic Design (incl. 3D Renderings)</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420,000</w:t>
            </w:r>
          </w:p>
        </w:tc>
        <w:tc>
          <w:tcPr/>
          <w:p>
            <w:pPr>
              <w:pStyle w:val="Compact"/>
              <w:jc w:val="left"/>
            </w:pPr>
            <w:r>
              <w:t xml:space="preserve">420,000</w:t>
            </w:r>
          </w:p>
        </w:tc>
      </w:tr>
      <w:tr>
        <w:tc>
          <w:tcPr/>
          <w:p>
            <w:pPr>
              <w:pStyle w:val="Compact"/>
              <w:jc w:val="left"/>
            </w:pPr>
            <w:r>
              <w:t xml:space="preserve">3</w:t>
            </w:r>
          </w:p>
        </w:tc>
        <w:tc>
          <w:tcPr/>
          <w:p>
            <w:pPr>
              <w:pStyle w:val="Compact"/>
              <w:jc w:val="left"/>
            </w:pPr>
            <w:r>
              <w:t xml:space="preserve">Design Development &amp; Coordination</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560,000</w:t>
            </w:r>
          </w:p>
        </w:tc>
        <w:tc>
          <w:tcPr/>
          <w:p>
            <w:pPr>
              <w:pStyle w:val="Compact"/>
              <w:jc w:val="left"/>
            </w:pPr>
            <w:r>
              <w:t xml:space="preserve">560,000</w:t>
            </w:r>
          </w:p>
        </w:tc>
      </w:tr>
      <w:tr>
        <w:tc>
          <w:tcPr/>
          <w:p>
            <w:pPr>
              <w:pStyle w:val="Compact"/>
              <w:jc w:val="left"/>
            </w:pPr>
            <w:r>
              <w:t xml:space="preserve">4</w:t>
            </w:r>
          </w:p>
        </w:tc>
        <w:tc>
          <w:tcPr/>
          <w:p>
            <w:pPr>
              <w:pStyle w:val="Compact"/>
              <w:jc w:val="left"/>
            </w:pPr>
            <w:r>
              <w:t xml:space="preserve">Construction Documentation &amp; BOQ</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680,000</w:t>
            </w:r>
          </w:p>
        </w:tc>
        <w:tc>
          <w:tcPr/>
          <w:p>
            <w:pPr>
              <w:pStyle w:val="Compact"/>
              <w:jc w:val="left"/>
            </w:pPr>
            <w:r>
              <w:t xml:space="preserve">680,000</w:t>
            </w:r>
          </w:p>
        </w:tc>
      </w:tr>
      <w:tr>
        <w:tc>
          <w:tcPr/>
          <w:p>
            <w:pPr>
              <w:pStyle w:val="Compact"/>
              <w:jc w:val="left"/>
            </w:pPr>
            <w:r>
              <w:t xml:space="preserve">5</w:t>
            </w:r>
          </w:p>
        </w:tc>
        <w:tc>
          <w:tcPr/>
          <w:p>
            <w:pPr>
              <w:pStyle w:val="Compact"/>
              <w:jc w:val="left"/>
            </w:pPr>
            <w:r>
              <w:t xml:space="preserve">Statutory Approval &amp; DCC Submission</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275,000</w:t>
            </w:r>
          </w:p>
        </w:tc>
        <w:tc>
          <w:tcPr/>
          <w:p>
            <w:pPr>
              <w:pStyle w:val="Compact"/>
              <w:jc w:val="left"/>
            </w:pPr>
            <w:r>
              <w:t xml:space="preserve">275,000</w:t>
            </w:r>
          </w:p>
        </w:tc>
      </w:tr>
      <w:tr>
        <w:tc>
          <w:tcPr/>
          <w:p>
            <w:pPr>
              <w:pStyle w:val="Compact"/>
              <w:jc w:val="left"/>
            </w:pPr>
            <w:r>
              <w:t xml:space="preserve">6</w:t>
            </w:r>
          </w:p>
        </w:tc>
        <w:tc>
          <w:tcPr/>
          <w:p>
            <w:pPr>
              <w:pStyle w:val="Compact"/>
              <w:jc w:val="left"/>
            </w:pPr>
            <w:r>
              <w:t xml:space="preserve">Tender Support &amp; Contractor Evaluation</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150,000</w:t>
            </w:r>
          </w:p>
        </w:tc>
        <w:tc>
          <w:tcPr/>
          <w:p>
            <w:pPr>
              <w:pStyle w:val="Compact"/>
              <w:jc w:val="left"/>
            </w:pPr>
            <w:r>
              <w:t xml:space="preserve">150,000</w:t>
            </w:r>
          </w:p>
        </w:tc>
      </w:tr>
      <w:tr>
        <w:tc>
          <w:tcPr/>
          <w:p>
            <w:pPr>
              <w:pStyle w:val="Compact"/>
              <w:jc w:val="left"/>
            </w:pPr>
            <w:r>
              <w:t xml:space="preserve">7</w:t>
            </w:r>
          </w:p>
        </w:tc>
        <w:tc>
          <w:tcPr/>
          <w:p>
            <w:pPr>
              <w:pStyle w:val="Compact"/>
              <w:jc w:val="left"/>
            </w:pPr>
            <w:r>
              <w:t xml:space="preserve">Construction Supervision (18 months)</w:t>
            </w:r>
          </w:p>
        </w:tc>
        <w:tc>
          <w:tcPr/>
          <w:p>
            <w:pPr>
              <w:pStyle w:val="Compact"/>
              <w:jc w:val="left"/>
            </w:pPr>
            <w:r>
              <w:t xml:space="preserve">Month</w:t>
            </w:r>
          </w:p>
        </w:tc>
        <w:tc>
          <w:tcPr/>
          <w:p>
            <w:pPr>
              <w:pStyle w:val="Compact"/>
              <w:jc w:val="left"/>
            </w:pPr>
            <w:r>
              <w:t xml:space="preserve">18</w:t>
            </w:r>
          </w:p>
        </w:tc>
        <w:tc>
          <w:tcPr/>
          <w:p>
            <w:pPr>
              <w:pStyle w:val="Compact"/>
              <w:jc w:val="left"/>
            </w:pPr>
            <w:r>
              <w:t xml:space="preserve">95,000</w:t>
            </w:r>
          </w:p>
        </w:tc>
        <w:tc>
          <w:tcPr/>
          <w:p>
            <w:pPr>
              <w:pStyle w:val="Compact"/>
              <w:jc w:val="left"/>
            </w:pPr>
            <w:r>
              <w:t xml:space="preserve">1,710,000</w:t>
            </w:r>
          </w:p>
        </w:tc>
      </w:tr>
      <w:tr>
        <w:tc>
          <w:tcPr/>
          <w:p>
            <w:pPr>
              <w:pStyle w:val="Compact"/>
              <w:jc w:val="left"/>
            </w:pPr>
            <w:r>
              <w:t xml:space="preserve">8</w:t>
            </w:r>
          </w:p>
        </w:tc>
        <w:tc>
          <w:tcPr/>
          <w:p>
            <w:pPr>
              <w:pStyle w:val="Compact"/>
              <w:jc w:val="left"/>
            </w:pPr>
            <w:r>
              <w:t xml:space="preserve">As-Built Documentation</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9</w:t>
            </w:r>
          </w:p>
        </w:tc>
        <w:tc>
          <w:tcPr/>
          <w:p>
            <w:pPr>
              <w:pStyle w:val="Compact"/>
              <w:jc w:val="left"/>
            </w:pPr>
            <w:r>
              <w:t xml:space="preserve">Travel &amp; Site Logistics within Dhaka</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85,000</w:t>
            </w:r>
          </w:p>
        </w:tc>
        <w:tc>
          <w:tcPr/>
          <w:p>
            <w:pPr>
              <w:pStyle w:val="Compact"/>
              <w:jc w:val="left"/>
            </w:pPr>
            <w:r>
              <w:t xml:space="preserve">85,000</w:t>
            </w:r>
          </w:p>
        </w:tc>
      </w:tr>
      <w:tr>
        <w:tc>
          <w:tcPr>
            <w:gridSpan w:val="5"/>
          </w:tcPr>
          <w:p>
            <w:pPr>
              <w:pStyle w:val="Compact"/>
              <w:jc w:val="right"/>
            </w:pPr>
            <w:r>
              <w:t xml:space="preserve">Subtotal (BDT)</w:t>
            </w:r>
          </w:p>
        </w:tc>
        <w:tc>
          <w:tcPr/>
          <w:p>
            <w:pPr>
              <w:pStyle w:val="Compact"/>
              <w:jc w:val="left"/>
            </w:pPr>
            <w:r>
              <w:t xml:space="preserve">4,185,000</w:t>
            </w:r>
          </w:p>
        </w:tc>
      </w:tr>
      <w:tr>
        <w:tc>
          <w:tcPr>
            <w:gridSpan w:val="5"/>
          </w:tcPr>
          <w:p>
            <w:pPr>
              <w:pStyle w:val="Compact"/>
              <w:jc w:val="right"/>
            </w:pPr>
            <w:r>
              <w:t xml:space="preserve">VAT @ 15% (Bangladesh)</w:t>
            </w:r>
          </w:p>
        </w:tc>
        <w:tc>
          <w:tcPr/>
          <w:p>
            <w:pPr>
              <w:pStyle w:val="Compact"/>
              <w:jc w:val="left"/>
            </w:pPr>
            <w:r>
              <w:t xml:space="preserve">627,750</w:t>
            </w:r>
          </w:p>
        </w:tc>
      </w:tr>
      <w:tr>
        <w:tc>
          <w:tcPr>
            <w:gridSpan w:val="5"/>
          </w:tcPr>
          <w:p>
            <w:pPr>
              <w:pStyle w:val="Compact"/>
              <w:jc w:val="right"/>
            </w:pPr>
            <w:r>
              <w:t xml:space="preserve">TOTAL AMOUNT (BDT)</w:t>
            </w:r>
          </w:p>
        </w:tc>
        <w:tc>
          <w:tcPr/>
          <w:p>
            <w:pPr>
              <w:pStyle w:val="Compact"/>
              <w:jc w:val="left"/>
            </w:pPr>
            <w:r>
              <w:t xml:space="preserve">4,812,750</w:t>
            </w:r>
          </w:p>
        </w:tc>
      </w:tr>
    </w:tbl>
    <w:p>
      <w:pPr>
        <w:pStyle w:val="BodyText"/>
      </w:pPr>
      <w:r>
        <w:t xml:space="preserve">Amount in words: Four Million Eight Hundred Twelve Thousand Seven Hundred Fifty Taka Only (BDT 4,812,750). All rates are exclusive of any additional government levies imposed by Bangladesh Dhaka authorities after the date of this Quotation Estimate.</w:t>
      </w:r>
    </w:p>
    <w:bookmarkEnd w:id="23"/>
    <w:bookmarkStart w:id="24" w:name="payment-schedule"/>
    <w:p>
      <w:pPr>
        <w:pStyle w:val="Heading2"/>
      </w:pPr>
      <w:r>
        <w:t xml:space="preserve">4. Payment Schedule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Milestone</w:t>
            </w:r>
          </w:p>
        </w:tc>
        <w:tc>
          <w:tcPr/>
          <w:p>
            <w:pPr>
              <w:pStyle w:val="Compact"/>
              <w:jc w:val="left"/>
            </w:pPr>
            <w:r>
              <w:t xml:space="preserve">Percentage</w:t>
            </w:r>
          </w:p>
        </w:tc>
        <w:tc>
          <w:tcPr/>
          <w:p>
            <w:pPr>
              <w:pStyle w:val="Compact"/>
              <w:jc w:val="left"/>
            </w:pPr>
            <w:r>
              <w:t xml:space="preserve">Amount (BDT)</w:t>
            </w:r>
          </w:p>
        </w:tc>
        <w:tc>
          <w:tcPr/>
          <w:p>
            <w:pPr>
              <w:pStyle w:val="Compact"/>
              <w:jc w:val="left"/>
            </w:pPr>
            <w:r>
              <w:t xml:space="preserve">Trigger</w:t>
            </w:r>
          </w:p>
        </w:tc>
      </w:tr>
      <w:tr>
        <w:tc>
          <w:tcPr/>
          <w:p>
            <w:pPr>
              <w:pStyle w:val="Compact"/>
              <w:jc w:val="left"/>
            </w:pPr>
            <w:r>
              <w:t xml:space="preserve">Advance Payment</w:t>
            </w:r>
          </w:p>
        </w:tc>
        <w:tc>
          <w:tcPr/>
          <w:p>
            <w:pPr>
              <w:pStyle w:val="Compact"/>
              <w:jc w:val="left"/>
            </w:pPr>
            <w:r>
              <w:t xml:space="preserve">20%</w:t>
            </w:r>
          </w:p>
        </w:tc>
        <w:tc>
          <w:tcPr/>
          <w:p>
            <w:pPr>
              <w:pStyle w:val="Compact"/>
              <w:jc w:val="left"/>
            </w:pPr>
            <w:r>
              <w:t xml:space="preserve">962,550</w:t>
            </w:r>
          </w:p>
        </w:tc>
        <w:tc>
          <w:tcPr/>
          <w:p>
            <w:pPr>
              <w:pStyle w:val="Compact"/>
              <w:jc w:val="left"/>
            </w:pPr>
            <w:r>
              <w:t xml:space="preserve">Upon signing of the Architect Service Agreement</w:t>
            </w:r>
          </w:p>
        </w:tc>
      </w:tr>
      <w:tr>
        <w:tc>
          <w:tcPr/>
          <w:p>
            <w:pPr>
              <w:pStyle w:val="Compact"/>
              <w:jc w:val="left"/>
            </w:pPr>
            <w:r>
              <w:t xml:space="preserve">Concept &amp; Schematic Approval</w:t>
            </w:r>
          </w:p>
        </w:tc>
        <w:tc>
          <w:tcPr/>
          <w:p>
            <w:pPr>
              <w:pStyle w:val="Compact"/>
              <w:jc w:val="left"/>
            </w:pPr>
            <w:r>
              <w:t xml:space="preserve">15%</w:t>
            </w:r>
          </w:p>
        </w:tc>
        <w:tc>
          <w:tcPr/>
          <w:p>
            <w:pPr>
              <w:pStyle w:val="Compact"/>
              <w:jc w:val="left"/>
            </w:pPr>
            <w:r>
              <w:t xml:space="preserve">721,913</w:t>
            </w:r>
          </w:p>
        </w:tc>
        <w:tc>
          <w:tcPr/>
          <w:p>
            <w:pPr>
              <w:pStyle w:val="Compact"/>
              <w:jc w:val="left"/>
            </w:pPr>
            <w:r>
              <w:t xml:space="preserve">Client written approval of Schematic Design</w:t>
            </w:r>
          </w:p>
        </w:tc>
      </w:tr>
      <w:tr>
        <w:tc>
          <w:tcPr/>
          <w:p>
            <w:pPr>
              <w:pStyle w:val="Compact"/>
              <w:jc w:val="left"/>
            </w:pPr>
            <w:r>
              <w:t xml:space="preserve">Design Development Complete</w:t>
            </w:r>
          </w:p>
        </w:tc>
        <w:tc>
          <w:tcPr/>
          <w:p>
            <w:pPr>
              <w:pStyle w:val="Compact"/>
              <w:jc w:val="left"/>
            </w:pPr>
            <w:r>
              <w:t xml:space="preserve">15%</w:t>
            </w:r>
          </w:p>
        </w:tc>
        <w:tc>
          <w:tcPr/>
          <w:p>
            <w:pPr>
              <w:pStyle w:val="Compact"/>
              <w:jc w:val="left"/>
            </w:pPr>
            <w:r>
              <w:t xml:space="preserve">721,913</w:t>
            </w:r>
          </w:p>
        </w:tc>
        <w:tc>
          <w:tcPr/>
          <w:p>
            <w:pPr>
              <w:pStyle w:val="Compact"/>
              <w:jc w:val="left"/>
            </w:pPr>
            <w:r>
              <w:t xml:space="preserve">Submission of DD drawings</w:t>
            </w:r>
          </w:p>
        </w:tc>
      </w:tr>
      <w:tr>
        <w:tc>
          <w:tcPr/>
          <w:p>
            <w:pPr>
              <w:pStyle w:val="Compact"/>
              <w:jc w:val="left"/>
            </w:pPr>
            <w:r>
              <w:t xml:space="preserve">Construction Docs &amp; DCC Approval</w:t>
            </w:r>
          </w:p>
        </w:tc>
        <w:tc>
          <w:tcPr/>
          <w:p>
            <w:pPr>
              <w:pStyle w:val="Compact"/>
              <w:jc w:val="left"/>
            </w:pPr>
            <w:r>
              <w:t xml:space="preserve">20%</w:t>
            </w:r>
          </w:p>
        </w:tc>
        <w:tc>
          <w:tcPr/>
          <w:p>
            <w:pPr>
              <w:pStyle w:val="Compact"/>
              <w:jc w:val="left"/>
            </w:pPr>
            <w:r>
              <w:t xml:space="preserve">962,550</w:t>
            </w:r>
          </w:p>
        </w:tc>
        <w:tc>
          <w:tcPr/>
          <w:p>
            <w:pPr>
              <w:pStyle w:val="Compact"/>
              <w:jc w:val="left"/>
            </w:pPr>
            <w:r>
              <w:t xml:space="preserve">Receipt of DCC building permit</w:t>
            </w:r>
          </w:p>
        </w:tc>
      </w:tr>
      <w:tr>
        <w:tc>
          <w:tcPr/>
          <w:p>
            <w:pPr>
              <w:pStyle w:val="Compact"/>
              <w:jc w:val="left"/>
            </w:pPr>
            <w:r>
              <w:t xml:space="preserve">Construction Supervision (Monthly)</w:t>
            </w:r>
          </w:p>
        </w:tc>
        <w:tc>
          <w:tcPr/>
          <w:p>
            <w:pPr>
              <w:pStyle w:val="Compact"/>
              <w:jc w:val="left"/>
            </w:pPr>
            <w:r>
              <w:t xml:space="preserve">25%</w:t>
            </w:r>
          </w:p>
        </w:tc>
        <w:tc>
          <w:tcPr/>
          <w:p>
            <w:pPr>
              <w:pStyle w:val="Compact"/>
              <w:jc w:val="left"/>
            </w:pPr>
            <w:r>
              <w:t xml:space="preserve">1,203,188</w:t>
            </w:r>
          </w:p>
        </w:tc>
        <w:tc>
          <w:tcPr/>
          <w:p>
            <w:pPr>
              <w:pStyle w:val="Compact"/>
              <w:jc w:val="left"/>
            </w:pPr>
            <w:r>
              <w:t xml:space="preserve">Disbursed in 18 equal monthly installments</w:t>
            </w:r>
          </w:p>
        </w:tc>
      </w:tr>
      <w:tr>
        <w:tc>
          <w:tcPr/>
          <w:p>
            <w:pPr>
              <w:pStyle w:val="Compact"/>
              <w:jc w:val="left"/>
            </w:pPr>
            <w:r>
              <w:t xml:space="preserve">Project Handover &amp; As-Built</w:t>
            </w:r>
          </w:p>
        </w:tc>
        <w:tc>
          <w:tcPr/>
          <w:p>
            <w:pPr>
              <w:pStyle w:val="Compact"/>
              <w:jc w:val="left"/>
            </w:pPr>
            <w:r>
              <w:t xml:space="preserve">5%</w:t>
            </w:r>
          </w:p>
        </w:tc>
        <w:tc>
          <w:tcPr/>
          <w:p>
            <w:pPr>
              <w:pStyle w:val="Compact"/>
              <w:jc w:val="left"/>
            </w:pPr>
            <w:r>
              <w:t xml:space="preserve">240,636</w:t>
            </w:r>
          </w:p>
        </w:tc>
        <w:tc>
          <w:tcPr/>
          <w:p>
            <w:pPr>
              <w:pStyle w:val="Compact"/>
              <w:jc w:val="left"/>
            </w:pPr>
            <w:r>
              <w:t xml:space="preserve">Final completion certificate issued</w:t>
            </w:r>
          </w:p>
        </w:tc>
      </w:tr>
    </w:tbl>
    <w:bookmarkEnd w:id="24"/>
    <w:bookmarkStart w:id="25" w:name="terms-conditions"/>
    <w:p>
      <w:pPr>
        <w:pStyle w:val="Heading2"/>
      </w:pPr>
      <w:r>
        <w:t xml:space="preserve">5. Terms &amp; Conditions</w:t>
      </w:r>
    </w:p>
    <w:p>
      <w:pPr>
        <w:numPr>
          <w:ilvl w:val="0"/>
          <w:numId w:val="1002"/>
        </w:numPr>
        <w:pStyle w:val="Compact"/>
      </w:pPr>
      <w:r>
        <w:t xml:space="preserve">This Quotation Estimate is valid for thirty (30) calendar days from the date of issue. After the expiry date, the Architect reserves the right to revise rates due to market fluctuations in Bangladesh Dhaka.</w:t>
      </w:r>
    </w:p>
    <w:p>
      <w:pPr>
        <w:numPr>
          <w:ilvl w:val="0"/>
          <w:numId w:val="1002"/>
        </w:numPr>
        <w:pStyle w:val="Compact"/>
      </w:pPr>
      <w:r>
        <w:t xml:space="preserve">All payments shall be made in Bangladeshi Taka (BDT) via bank transfer to the account of Dhaka Architectural Design Studio Ltd. No cash payments will be accepted.</w:t>
      </w:r>
    </w:p>
    <w:p>
      <w:pPr>
        <w:numPr>
          <w:ilvl w:val="0"/>
          <w:numId w:val="1002"/>
        </w:numPr>
        <w:pStyle w:val="Compact"/>
      </w:pPr>
      <w:r>
        <w:t xml:space="preserve">The Architect shall not be liable for delays caused by DCC processing, force majeure events, or client-initiated design changes beyond the two (2) included revision cycles. Additional revisions shall be charged at BDT 12,000 per drawing sheet.</w:t>
      </w:r>
    </w:p>
    <w:p>
      <w:pPr>
        <w:numPr>
          <w:ilvl w:val="0"/>
          <w:numId w:val="1002"/>
        </w:numPr>
        <w:pStyle w:val="Compact"/>
      </w:pPr>
      <w:r>
        <w:t xml:space="preserve">Intellectual property of all design documents, drawings, and 3D models created by the Architect shall remain the property of Dhaka Architectural Design Studio Ltd. until full payment is received.</w:t>
      </w:r>
    </w:p>
    <w:p>
      <w:pPr>
        <w:numPr>
          <w:ilvl w:val="0"/>
          <w:numId w:val="1002"/>
        </w:numPr>
        <w:pStyle w:val="Compact"/>
      </w:pPr>
      <w:r>
        <w:t xml:space="preserve">The Architect shall maintain professional indemnity insurance of not less than BDT 5,000,000 throughout the project duration as per Bangladesh regulatory requirements.</w:t>
      </w:r>
    </w:p>
    <w:p>
      <w:pPr>
        <w:numPr>
          <w:ilvl w:val="0"/>
          <w:numId w:val="1002"/>
        </w:numPr>
        <w:pStyle w:val="Compact"/>
      </w:pPr>
      <w:r>
        <w:t xml:space="preserve">Any dispute arising from this Quotation Estimate or the subsequent Architect Service Agreement shall be resolved through arbitration in Dhaka, Bangladesh, in accordance with the Arbitration Act of Bangladesh.</w:t>
      </w:r>
    </w:p>
    <w:p>
      <w:pPr>
        <w:numPr>
          <w:ilvl w:val="0"/>
          <w:numId w:val="1002"/>
        </w:numPr>
        <w:pStyle w:val="Compact"/>
      </w:pPr>
      <w:r>
        <w:t xml:space="preserve">This Quotation Estimate does not constitute a binding contract until a formal Architect Service Agreement is executed by both parties.</w:t>
      </w:r>
    </w:p>
    <w:p>
      <w:pPr>
        <w:pStyle w:val="FirstParagraph"/>
      </w:pPr>
      <w:r>
        <w:rPr>
          <w:bCs/>
          <w:b/>
        </w:rPr>
        <w:t xml:space="preserve">Important Notice:</w:t>
      </w:r>
      <w:r>
        <w:t xml:space="preserve"> </w:t>
      </w:r>
      <w:r>
        <w:t xml:space="preserve">This Quotation Estimate is prepared specifically for the project located in Bangladesh Dhaka and is subject to the local building regulations, DCC bylaws, and BNBC 2020 guidelines. The Architect fee structure reflects the current market rates for professional Architect services in the Dhaka metropolitan area as of June 2025.</w:t>
      </w:r>
    </w:p>
    <w:bookmarkEnd w:id="25"/>
    <w:bookmarkStart w:id="26" w:name="acceptance-authorization"/>
    <w:p>
      <w:pPr>
        <w:pStyle w:val="Heading2"/>
      </w:pPr>
      <w:r>
        <w:t xml:space="preserve">6. Acceptance &amp; Authorization</w:t>
      </w:r>
    </w:p>
    <w:p>
      <w:pPr>
        <w:pStyle w:val="FirstParagraph"/>
      </w:pPr>
      <w:r>
        <w:t xml:space="preserve">By signing below, the client acknowledges receipt of this Quotation Estimate and agrees to the terms, conditions, and fee structure outlined herein for the Architect services in Bangladesh Dhaka.</w:t>
      </w:r>
    </w:p>
    <w:p>
      <w:pPr>
        <w:pStyle w:val="BodyText"/>
      </w:pPr>
      <w:r>
        <w:rPr>
          <w:bCs/>
          <w:b/>
        </w:rPr>
        <w:t xml:space="preserve">For &amp; On Behalf of</w:t>
      </w:r>
      <w:r>
        <w:br/>
      </w:r>
      <w:r>
        <w:t xml:space="preserve">Dhaka Architectural Design Studio Ltd.</w:t>
      </w:r>
    </w:p>
    <w:p>
      <w:pPr>
        <w:pStyle w:val="BodyText"/>
      </w:pPr>
      <w:r>
        <w:rPr>
          <w:bCs/>
          <w:b/>
        </w:rPr>
        <w:t xml:space="preserve">Engr. Tanvir Ahmed</w:t>
      </w:r>
      <w:r>
        <w:br/>
      </w:r>
      <w:r>
        <w:t xml:space="preserve">Principal Architect, BCI Licensed</w:t>
      </w:r>
      <w:r>
        <w:br/>
      </w:r>
      <w:r>
        <w:t xml:space="preserve">Signature &amp; Company Seal</w:t>
      </w:r>
    </w:p>
    <w:p>
      <w:pPr>
        <w:pStyle w:val="BodyText"/>
      </w:pPr>
      <w:r>
        <w:rPr>
          <w:bCs/>
          <w:b/>
        </w:rPr>
        <w:t xml:space="preserve">Client Acceptance</w:t>
      </w:r>
      <w:r>
        <w:br/>
      </w:r>
      <w:r>
        <w:t xml:space="preserve">Mr. Rafiqul Islam</w:t>
      </w:r>
    </w:p>
    <w:p>
      <w:pPr>
        <w:pStyle w:val="BodyText"/>
      </w:pPr>
      <w:r>
        <w:rPr>
          <w:bCs/>
          <w:b/>
        </w:rPr>
        <w:t xml:space="preserve">Signature</w:t>
      </w:r>
      <w:r>
        <w:br/>
      </w:r>
      <w:r>
        <w:t xml:space="preserve">Date: _______________</w:t>
      </w:r>
    </w:p>
    <w:p>
      <w:pPr>
        <w:pStyle w:val="BodyText"/>
      </w:pPr>
      <w:r>
        <w:t xml:space="preserve">Dhaka Architectural Design Studio Ltd. | House 42, Road 11, Banani, Dhaka-1213, Bangladesh</w:t>
      </w:r>
      <w:r>
        <w:br/>
      </w:r>
      <w:r>
        <w:t xml:space="preserve">This Quotation Estimate is a confidential document intended solely for the named client. Unauthorized reproduction or distribution is prohibited.</w:t>
      </w:r>
      <w:r>
        <w:br/>
      </w:r>
      <w:r>
        <w:t xml:space="preserve">Page 1 of 1 | QE/BDK/2025/0472</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Architect Services - Bangladesh Dhaka</dc:title>
  <dc:creator/>
  <dc:language>en</dc:language>
  <cp:keywords/>
  <dcterms:created xsi:type="dcterms:W3CDTF">2026-10-10T06:59:22Z</dcterms:created>
  <dcterms:modified xsi:type="dcterms:W3CDTF">2026-10-10T06:59:22Z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