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atelier-architectural-brussels"/>
    <w:p>
      <w:pPr>
        <w:pStyle w:val="Heading1"/>
      </w:pPr>
      <w:r>
        <w:t xml:space="preserve">Atelier Architectural Brussels</w:t>
      </w:r>
    </w:p>
    <w:p>
      <w:pPr>
        <w:pStyle w:val="FirstParagraph"/>
      </w:pPr>
      <w:r>
        <w:t xml:space="preserve">Architectural Design &amp; Consultancy Firm</w:t>
      </w:r>
    </w:p>
    <w:p>
      <w:pPr>
        <w:pStyle w:val="BodyText"/>
      </w:pPr>
      <w:r>
        <w:t xml:space="preserve">12 Rue de la Loi, 1040 Brussels, Belgium</w:t>
      </w:r>
    </w:p>
    <w:p>
      <w:pPr>
        <w:pStyle w:val="BodyText"/>
      </w:pPr>
      <w:r>
        <w:t xml:space="preserve">VAT: BE 0123.456.789 | Tel: +32 2 555 0142 | Email: info@atelierarchbrussels.be</w:t>
      </w:r>
    </w:p>
    <w:bookmarkEnd w:id="20"/>
    <w:p>
      <w:pPr>
        <w:pStyle w:val="BodyText"/>
      </w:pPr>
      <w:r>
        <w:t xml:space="preserve">Quotation Estimate</w:t>
      </w:r>
    </w:p>
    <w:bookmarkStart w:id="21" w:name="quotation-reference"/>
    <w:p>
      <w:pPr>
        <w:pStyle w:val="Heading3"/>
      </w:pPr>
      <w:r>
        <w:t xml:space="preserve">Quotation Reference</w:t>
      </w:r>
    </w:p>
    <w:p>
      <w:pPr>
        <w:pStyle w:val="FirstParagraph"/>
      </w:pPr>
      <w:r>
        <w:rPr>
          <w:bCs/>
          <w:b/>
        </w:rPr>
        <w:t xml:space="preserve">Ref:</w:t>
      </w:r>
      <w:r>
        <w:t xml:space="preserve"> </w:t>
      </w:r>
      <w:r>
        <w:t xml:space="preserve">QTE-2025-BRU-0472</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Currency:</w:t>
      </w:r>
      <w:r>
        <w:t xml:space="preserve"> </w:t>
      </w:r>
      <w:r>
        <w:t xml:space="preserve">EUR (€)</w:t>
      </w:r>
    </w:p>
    <w:bookmarkEnd w:id="21"/>
    <w:bookmarkStart w:id="22" w:name="client-details"/>
    <w:p>
      <w:pPr>
        <w:pStyle w:val="Heading3"/>
      </w:pPr>
      <w:r>
        <w:t xml:space="preserve">Client Details</w:t>
      </w:r>
    </w:p>
    <w:p>
      <w:pPr>
        <w:pStyle w:val="FirstParagraph"/>
      </w:pPr>
      <w:r>
        <w:rPr>
          <w:bCs/>
          <w:b/>
        </w:rPr>
        <w:t xml:space="preserve">Client:</w:t>
      </w:r>
      <w:r>
        <w:t xml:space="preserve"> </w:t>
      </w:r>
      <w:r>
        <w:t xml:space="preserve">M. Jean-Pierre Vandenberghe</w:t>
      </w:r>
    </w:p>
    <w:p>
      <w:pPr>
        <w:pStyle w:val="BodyText"/>
      </w:pPr>
      <w:r>
        <w:rPr>
          <w:bCs/>
          <w:b/>
        </w:rPr>
        <w:t xml:space="preserve">Address:</w:t>
      </w:r>
      <w:r>
        <w:t xml:space="preserve"> </w:t>
      </w:r>
      <w:r>
        <w:t xml:space="preserve">45 Avenue Louise, 1050 Brussels, Belgium</w:t>
      </w:r>
    </w:p>
    <w:p>
      <w:pPr>
        <w:pStyle w:val="BodyText"/>
      </w:pPr>
      <w:r>
        <w:rPr>
          <w:bCs/>
          <w:b/>
        </w:rPr>
        <w:t xml:space="preserve">Project Location:</w:t>
      </w:r>
      <w:r>
        <w:t xml:space="preserve"> </w:t>
      </w:r>
      <w:r>
        <w:t xml:space="preserve">Ixelles, 1050 Brussels, Belgium</w:t>
      </w:r>
    </w:p>
    <w:p>
      <w:pPr>
        <w:pStyle w:val="BodyText"/>
      </w:pPr>
      <w:r>
        <w:rPr>
          <w:bCs/>
          <w:b/>
        </w:rPr>
        <w:t xml:space="preserve">Contact:</w:t>
      </w:r>
      <w:r>
        <w:t xml:space="preserve"> </w:t>
      </w:r>
      <w:r>
        <w:t xml:space="preserve">+32 470 123 456</w:t>
      </w:r>
    </w:p>
    <w:bookmarkEnd w:id="22"/>
    <w:bookmarkStart w:id="23" w:name="Xe532c59dfae952c7b294537f0870e379934ad70"/>
    <w:p>
      <w:pPr>
        <w:pStyle w:val="Heading2"/>
      </w:pPr>
      <w:r>
        <w:t xml:space="preserve">1. Introduction &amp; Purpose of This Quotation Estimate</w:t>
      </w:r>
    </w:p>
    <w:p>
      <w:pPr>
        <w:pStyle w:val="FirstParagraph"/>
      </w:pPr>
      <w:r>
        <w:t xml:space="preserve">This</w:t>
      </w:r>
      <w:r>
        <w:t xml:space="preserve"> </w:t>
      </w:r>
      <w:r>
        <w:t xml:space="preserve">Quotation Estimate</w:t>
      </w:r>
      <w:r>
        <w:t xml:space="preserve"> </w:t>
      </w:r>
      <w:r>
        <w:t xml:space="preserve">is formally issued by Atelier Architectural Brussels, a registered</w:t>
      </w:r>
      <w:r>
        <w:t xml:space="preserve"> </w:t>
      </w:r>
      <w:r>
        <w:t xml:space="preserve">Architect</w:t>
      </w:r>
      <w:r>
        <w:t xml:space="preserve"> </w:t>
      </w:r>
      <w:r>
        <w:t xml:space="preserve">practice operating under the professional regulations of the Belgian Federal Service for Health, Food Chain and Environment (FOD), to provide a comprehensive and transparent cost breakdown for architectural services to be delivered in</w:t>
      </w:r>
      <w:r>
        <w:t xml:space="preserve"> </w:t>
      </w:r>
      <w:r>
        <w:t xml:space="preserve">Belgium Brussels</w:t>
      </w:r>
      <w:r>
        <w:t xml:space="preserve">. This document serves as a binding estimate of fees, timelines, and deliverables associated with the proposed architectural project located in the municipality of Ixelles, within the Brussels-Capital Region of Belgium.</w:t>
      </w:r>
    </w:p>
    <w:p>
      <w:pPr>
        <w:pStyle w:val="BodyText"/>
      </w:pPr>
      <w:r>
        <w:t xml:space="preserve">As a licensed</w:t>
      </w:r>
      <w:r>
        <w:t xml:space="preserve"> </w:t>
      </w:r>
      <w:r>
        <w:t xml:space="preserve">Architect</w:t>
      </w:r>
      <w:r>
        <w:t xml:space="preserve"> </w:t>
      </w:r>
      <w:r>
        <w:t xml:space="preserve">registered with the Brussels-Capital Region's Order of Architects, our firm is bound by the professional code of conduct established under Belgian law (Royal Decree of 25 March 1964 on the profession of Architect). This</w:t>
      </w:r>
      <w:r>
        <w:t xml:space="preserve"> </w:t>
      </w:r>
      <w:r>
        <w:t xml:space="preserve">Quotation Estimate</w:t>
      </w:r>
      <w:r>
        <w:t xml:space="preserve"> </w:t>
      </w:r>
      <w:r>
        <w:t xml:space="preserve">reflects the standard fee structure applicable to architectural engagements in</w:t>
      </w:r>
      <w:r>
        <w:t xml:space="preserve"> </w:t>
      </w:r>
      <w:r>
        <w:t xml:space="preserve">Belgium Brussels</w:t>
      </w:r>
      <w:r>
        <w:t xml:space="preserve">, adjusted for the specific scope, complexity, and regulatory requirements of the proposed project.</w:t>
      </w:r>
    </w:p>
    <w:bookmarkEnd w:id="23"/>
    <w:bookmarkStart w:id="24" w:name="scope-of-architectural-services"/>
    <w:p>
      <w:pPr>
        <w:pStyle w:val="Heading2"/>
      </w:pPr>
      <w:r>
        <w:t xml:space="preserve">2. Scope of Architectural Services</w:t>
      </w:r>
    </w:p>
    <w:p>
      <w:pPr>
        <w:pStyle w:val="FirstParagraph"/>
      </w:pPr>
      <w:r>
        <w:t xml:space="preserve">The</w:t>
      </w:r>
      <w:r>
        <w:t xml:space="preserve"> </w:t>
      </w:r>
      <w:r>
        <w:t xml:space="preserve">Architect</w:t>
      </w:r>
      <w:r>
        <w:t xml:space="preserve"> </w:t>
      </w:r>
      <w:r>
        <w:t xml:space="preserve">services outlined in this</w:t>
      </w:r>
      <w:r>
        <w:t xml:space="preserve"> </w:t>
      </w:r>
      <w:r>
        <w:t xml:space="preserve">Quotation Estimate</w:t>
      </w:r>
      <w:r>
        <w:t xml:space="preserve"> </w:t>
      </w:r>
      <w:r>
        <w:t xml:space="preserve">encompass the full design and coordination process for a residential renovation and extension project in</w:t>
      </w:r>
      <w:r>
        <w:t xml:space="preserve"> </w:t>
      </w:r>
      <w:r>
        <w:t xml:space="preserve">Belgium Brussels</w:t>
      </w:r>
      <w:r>
        <w:t xml:space="preserve">. The scope includes, but is not limited to, the following phases:</w:t>
      </w:r>
    </w:p>
    <w:p>
      <w:pPr>
        <w:numPr>
          <w:ilvl w:val="0"/>
          <w:numId w:val="1001"/>
        </w:numPr>
        <w:pStyle w:val="Compact"/>
      </w:pPr>
      <w:r>
        <w:rPr>
          <w:bCs/>
          <w:b/>
        </w:rPr>
        <w:t xml:space="preserve">Phase A – Feasibility &amp; Site Analysis:</w:t>
      </w:r>
      <w:r>
        <w:t xml:space="preserve"> </w:t>
      </w:r>
      <w:r>
        <w:t xml:space="preserve">Preliminary assessment of the existing structure, topographical survey review, and compliance check against the Brussels-Capital Region's Urban Planning Code (Code de l'Aménagement du Territoire et de l'Urbanisme – CATU).</w:t>
      </w:r>
    </w:p>
    <w:p>
      <w:pPr>
        <w:numPr>
          <w:ilvl w:val="0"/>
          <w:numId w:val="1001"/>
        </w:numPr>
        <w:pStyle w:val="Compact"/>
      </w:pPr>
      <w:r>
        <w:rPr>
          <w:bCs/>
          <w:b/>
        </w:rPr>
        <w:t xml:space="preserve">Phase B – Conceptual Design:</w:t>
      </w:r>
      <w:r>
        <w:t xml:space="preserve"> </w:t>
      </w:r>
      <w:r>
        <w:t xml:space="preserve">Development of architectural concept drawings, massing studies, and preliminary material specifications tailored to the heritage-sensitive context of the Brussels neighbourhood.</w:t>
      </w:r>
    </w:p>
    <w:p>
      <w:pPr>
        <w:numPr>
          <w:ilvl w:val="0"/>
          <w:numId w:val="1001"/>
        </w:numPr>
        <w:pStyle w:val="Compact"/>
      </w:pPr>
      <w:r>
        <w:rPr>
          <w:bCs/>
          <w:b/>
        </w:rPr>
        <w:t xml:space="preserve">Phase C – Detailed Design &amp; Permit Application:</w:t>
      </w:r>
      <w:r>
        <w:t xml:space="preserve"> </w:t>
      </w:r>
      <w:r>
        <w:t xml:space="preserve">Production of full construction drawings, structural coordination, energy performance calculations (PEB – Performance Énergétique du Bâtiment), and preparation of the complete building permit dossier for submission to the Brussels-Capital Region's Urban Planning Department.</w:t>
      </w:r>
    </w:p>
    <w:p>
      <w:pPr>
        <w:numPr>
          <w:ilvl w:val="0"/>
          <w:numId w:val="1001"/>
        </w:numPr>
        <w:pStyle w:val="Compact"/>
      </w:pPr>
      <w:r>
        <w:rPr>
          <w:bCs/>
          <w:b/>
        </w:rPr>
        <w:t xml:space="preserve">Phase D – Tender &amp; Contract Administration:</w:t>
      </w:r>
      <w:r>
        <w:t xml:space="preserve"> </w:t>
      </w:r>
      <w:r>
        <w:t xml:space="preserve">Preparation of technical specifications, coordination of contractor tenders, and issuance of the construction contract in accordance with Belgian construction law.</w:t>
      </w:r>
    </w:p>
    <w:p>
      <w:pPr>
        <w:numPr>
          <w:ilvl w:val="0"/>
          <w:numId w:val="1001"/>
        </w:numPr>
        <w:pStyle w:val="Compact"/>
      </w:pPr>
      <w:r>
        <w:rPr>
          <w:bCs/>
          <w:b/>
        </w:rPr>
        <w:t xml:space="preserve">Phase E – Construction Supervision:</w:t>
      </w:r>
      <w:r>
        <w:t xml:space="preserve"> </w:t>
      </w:r>
      <w:r>
        <w:t xml:space="preserve">On-site architectural supervision, progress inspections, quality control, and final acceptance documentation throughout the construction period in</w:t>
      </w:r>
      <w:r>
        <w:t xml:space="preserve"> </w:t>
      </w:r>
      <w:r>
        <w:t xml:space="preserve">Belgium Brussels</w:t>
      </w:r>
      <w:r>
        <w:t xml:space="preserve">.</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Architect Service</w:t>
            </w:r>
          </w:p>
        </w:tc>
        <w:tc>
          <w:tcPr/>
          <w:p>
            <w:pPr>
              <w:pStyle w:val="Compact"/>
              <w:jc w:val="left"/>
            </w:pPr>
            <w:r>
              <w:t xml:space="preserve">Duration</w:t>
            </w:r>
          </w:p>
        </w:tc>
        <w:tc>
          <w:tcPr/>
          <w:p>
            <w:pPr>
              <w:pStyle w:val="Compact"/>
              <w:jc w:val="left"/>
            </w:pPr>
            <w:r>
              <w:t xml:space="preserve">Estimated Cost (EUR)</w:t>
            </w:r>
          </w:p>
        </w:tc>
      </w:tr>
      <w:tr>
        <w:tc>
          <w:tcPr/>
          <w:p>
            <w:pPr>
              <w:pStyle w:val="Compact"/>
              <w:jc w:val="left"/>
            </w:pPr>
            <w:r>
              <w:t xml:space="preserve">01</w:t>
            </w:r>
          </w:p>
        </w:tc>
        <w:tc>
          <w:tcPr/>
          <w:p>
            <w:pPr>
              <w:pStyle w:val="Compact"/>
              <w:jc w:val="left"/>
            </w:pPr>
            <w:r>
              <w:t xml:space="preserve">Feasibility study, site survey review, and CATU compliance assessment for the Brussels project site</w:t>
            </w:r>
          </w:p>
        </w:tc>
        <w:tc>
          <w:tcPr/>
          <w:p>
            <w:pPr>
              <w:pStyle w:val="Compact"/>
              <w:jc w:val="left"/>
            </w:pPr>
            <w:r>
              <w:t xml:space="preserve">3 weeks</w:t>
            </w:r>
          </w:p>
        </w:tc>
        <w:tc>
          <w:tcPr/>
          <w:p>
            <w:pPr>
              <w:pStyle w:val="Compact"/>
              <w:jc w:val="left"/>
            </w:pPr>
            <w:r>
              <w:t xml:space="preserve">€ 4,200.00</w:t>
            </w:r>
          </w:p>
        </w:tc>
      </w:tr>
      <w:tr>
        <w:tc>
          <w:tcPr/>
          <w:p>
            <w:pPr>
              <w:pStyle w:val="Compact"/>
              <w:jc w:val="left"/>
            </w:pPr>
            <w:r>
              <w:t xml:space="preserve">02</w:t>
            </w:r>
          </w:p>
        </w:tc>
        <w:tc>
          <w:tcPr/>
          <w:p>
            <w:pPr>
              <w:pStyle w:val="Compact"/>
              <w:jc w:val="left"/>
            </w:pPr>
            <w:r>
              <w:t xml:space="preserve">Conceptual architectural design, 3D visualisations, and client presentation sessions (3 iterations)</w:t>
            </w:r>
          </w:p>
        </w:tc>
        <w:tc>
          <w:tcPr/>
          <w:p>
            <w:pPr>
              <w:pStyle w:val="Compact"/>
              <w:jc w:val="left"/>
            </w:pPr>
            <w:r>
              <w:t xml:space="preserve">5 weeks</w:t>
            </w:r>
          </w:p>
        </w:tc>
        <w:tc>
          <w:tcPr/>
          <w:p>
            <w:pPr>
              <w:pStyle w:val="Compact"/>
              <w:jc w:val="left"/>
            </w:pPr>
            <w:r>
              <w:t xml:space="preserve">€ 8,750.00</w:t>
            </w:r>
          </w:p>
        </w:tc>
      </w:tr>
      <w:tr>
        <w:tc>
          <w:tcPr/>
          <w:p>
            <w:pPr>
              <w:pStyle w:val="Compact"/>
              <w:jc w:val="left"/>
            </w:pPr>
            <w:r>
              <w:t xml:space="preserve">03</w:t>
            </w:r>
          </w:p>
        </w:tc>
        <w:tc>
          <w:tcPr/>
          <w:p>
            <w:pPr>
              <w:pStyle w:val="Compact"/>
              <w:jc w:val="left"/>
            </w:pPr>
            <w:r>
              <w:t xml:space="preserve">Detailed construction drawings, structural engineering coordination, and PEB energy calculations</w:t>
            </w:r>
          </w:p>
        </w:tc>
        <w:tc>
          <w:tcPr/>
          <w:p>
            <w:pPr>
              <w:pStyle w:val="Compact"/>
              <w:jc w:val="left"/>
            </w:pPr>
            <w:r>
              <w:t xml:space="preserve">8 weeks</w:t>
            </w:r>
          </w:p>
        </w:tc>
        <w:tc>
          <w:tcPr/>
          <w:p>
            <w:pPr>
              <w:pStyle w:val="Compact"/>
              <w:jc w:val="left"/>
            </w:pPr>
            <w:r>
              <w:t xml:space="preserve">€ 14,300.00</w:t>
            </w:r>
          </w:p>
        </w:tc>
      </w:tr>
      <w:tr>
        <w:tc>
          <w:tcPr/>
          <w:p>
            <w:pPr>
              <w:pStyle w:val="Compact"/>
              <w:jc w:val="left"/>
            </w:pPr>
            <w:r>
              <w:t xml:space="preserve">04</w:t>
            </w:r>
          </w:p>
        </w:tc>
        <w:tc>
          <w:tcPr/>
          <w:p>
            <w:pPr>
              <w:pStyle w:val="Compact"/>
              <w:jc w:val="left"/>
            </w:pPr>
            <w:r>
              <w:t xml:space="preserve">Building permit dossier preparation and submission to the Brussels-Capital Region Urban Planning Authority</w:t>
            </w:r>
          </w:p>
        </w:tc>
        <w:tc>
          <w:tcPr/>
          <w:p>
            <w:pPr>
              <w:pStyle w:val="Compact"/>
              <w:jc w:val="left"/>
            </w:pPr>
            <w:r>
              <w:t xml:space="preserve">4 weeks</w:t>
            </w:r>
          </w:p>
        </w:tc>
        <w:tc>
          <w:tcPr/>
          <w:p>
            <w:pPr>
              <w:pStyle w:val="Compact"/>
              <w:jc w:val="left"/>
            </w:pPr>
            <w:r>
              <w:t xml:space="preserve">€ 3,800.00</w:t>
            </w:r>
          </w:p>
        </w:tc>
      </w:tr>
      <w:tr>
        <w:tc>
          <w:tcPr/>
          <w:p>
            <w:pPr>
              <w:pStyle w:val="Compact"/>
              <w:jc w:val="left"/>
            </w:pPr>
            <w:r>
              <w:t xml:space="preserve">05</w:t>
            </w:r>
          </w:p>
        </w:tc>
        <w:tc>
          <w:tcPr/>
          <w:p>
            <w:pPr>
              <w:pStyle w:val="Compact"/>
              <w:jc w:val="left"/>
            </w:pPr>
            <w:r>
              <w:t xml:space="preserve">Tender document preparation, contractor coordination, and construction contract drafting</w:t>
            </w:r>
          </w:p>
        </w:tc>
        <w:tc>
          <w:tcPr/>
          <w:p>
            <w:pPr>
              <w:pStyle w:val="Compact"/>
              <w:jc w:val="left"/>
            </w:pPr>
            <w:r>
              <w:t xml:space="preserve">4 weeks</w:t>
            </w:r>
          </w:p>
        </w:tc>
        <w:tc>
          <w:tcPr/>
          <w:p>
            <w:pPr>
              <w:pStyle w:val="Compact"/>
              <w:jc w:val="left"/>
            </w:pPr>
            <w:r>
              <w:t xml:space="preserve">€ 5,600.00</w:t>
            </w:r>
          </w:p>
        </w:tc>
      </w:tr>
      <w:tr>
        <w:tc>
          <w:tcPr/>
          <w:p>
            <w:pPr>
              <w:pStyle w:val="Compact"/>
              <w:jc w:val="left"/>
            </w:pPr>
            <w:r>
              <w:t xml:space="preserve">06</w:t>
            </w:r>
          </w:p>
        </w:tc>
        <w:tc>
          <w:tcPr/>
          <w:p>
            <w:pPr>
              <w:pStyle w:val="Compact"/>
              <w:jc w:val="left"/>
            </w:pPr>
            <w:r>
              <w:t xml:space="preserve">On-site architectural supervision, bi-weekly progress inspections, and quality assurance (estimated 14-month construction period)</w:t>
            </w:r>
          </w:p>
        </w:tc>
        <w:tc>
          <w:tcPr/>
          <w:p>
            <w:pPr>
              <w:pStyle w:val="Compact"/>
              <w:jc w:val="left"/>
            </w:pPr>
            <w:r>
              <w:t xml:space="preserve">14 months</w:t>
            </w:r>
          </w:p>
        </w:tc>
        <w:tc>
          <w:tcPr/>
          <w:p>
            <w:pPr>
              <w:pStyle w:val="Compact"/>
              <w:jc w:val="left"/>
            </w:pPr>
            <w:r>
              <w:t xml:space="preserve">€ 22,400.00</w:t>
            </w:r>
          </w:p>
        </w:tc>
      </w:tr>
      <w:tr>
        <w:tc>
          <w:tcPr/>
          <w:p>
            <w:pPr>
              <w:pStyle w:val="Compact"/>
              <w:jc w:val="left"/>
            </w:pPr>
            <w:r>
              <w:t xml:space="preserve">07</w:t>
            </w:r>
          </w:p>
        </w:tc>
        <w:tc>
          <w:tcPr/>
          <w:p>
            <w:pPr>
              <w:pStyle w:val="Compact"/>
              <w:jc w:val="left"/>
            </w:pPr>
            <w:r>
              <w:t xml:space="preserve">Final as-built documentation, handover certificates, and warranty period support (12 months post-completion)</w:t>
            </w:r>
          </w:p>
        </w:tc>
        <w:tc>
          <w:tcPr/>
          <w:p>
            <w:pPr>
              <w:pStyle w:val="Compact"/>
              <w:jc w:val="left"/>
            </w:pPr>
            <w:r>
              <w:t xml:space="preserve">12 months</w:t>
            </w:r>
          </w:p>
        </w:tc>
        <w:tc>
          <w:tcPr/>
          <w:p>
            <w:pPr>
              <w:pStyle w:val="Compact"/>
              <w:jc w:val="left"/>
            </w:pPr>
            <w:r>
              <w:t xml:space="preserve">€ 3,200.00</w:t>
            </w:r>
          </w:p>
        </w:tc>
      </w:tr>
      <w:tr>
        <w:tc>
          <w:tcPr/>
          <w:p>
            <w:pPr>
              <w:pStyle w:val="Compact"/>
              <w:jc w:val="left"/>
            </w:pPr>
            <w:r>
              <w:t xml:space="preserve">08</w:t>
            </w:r>
          </w:p>
        </w:tc>
        <w:tc>
          <w:tcPr/>
          <w:p>
            <w:pPr>
              <w:pStyle w:val="Compact"/>
              <w:jc w:val="left"/>
            </w:pPr>
            <w:r>
              <w:t xml:space="preserve">Statutory professional liability insurance (RC Professionnelle) – annual premium allocation</w:t>
            </w:r>
          </w:p>
        </w:tc>
        <w:tc>
          <w:tcPr/>
          <w:p>
            <w:pPr>
              <w:pStyle w:val="Compact"/>
              <w:jc w:val="left"/>
            </w:pPr>
            <w:r>
              <w:t xml:space="preserve">24 months</w:t>
            </w:r>
          </w:p>
        </w:tc>
        <w:tc>
          <w:tcPr/>
          <w:p>
            <w:pPr>
              <w:pStyle w:val="Compact"/>
              <w:jc w:val="left"/>
            </w:pPr>
            <w:r>
              <w:t xml:space="preserve">€ 1,150.00</w:t>
            </w:r>
          </w:p>
        </w:tc>
      </w:tr>
      <w:tr>
        <w:tc>
          <w:tcPr>
            <w:gridSpan w:val="3"/>
          </w:tcPr>
          <w:p>
            <w:pPr>
              <w:pStyle w:val="Compact"/>
              <w:jc w:val="left"/>
            </w:pPr>
            <w:r>
              <w:t xml:space="preserve">Subtotal (Architect Professional Fees)</w:t>
            </w:r>
          </w:p>
        </w:tc>
        <w:tc>
          <w:tcPr/>
          <w:p>
            <w:pPr>
              <w:pStyle w:val="Compact"/>
              <w:jc w:val="left"/>
            </w:pPr>
            <w:r>
              <w:t xml:space="preserve">€ 63,400.00</w:t>
            </w:r>
          </w:p>
        </w:tc>
      </w:tr>
      <w:tr>
        <w:tc>
          <w:tcPr>
            <w:gridSpan w:val="3"/>
          </w:tcPr>
          <w:p>
            <w:pPr>
              <w:pStyle w:val="Compact"/>
              <w:jc w:val="left"/>
            </w:pPr>
            <w:r>
              <w:t xml:space="preserve">VAT (TVA) at 21% – applicable rate for architectural services in Belgium</w:t>
            </w:r>
          </w:p>
        </w:tc>
        <w:tc>
          <w:tcPr/>
          <w:p>
            <w:pPr>
              <w:pStyle w:val="Compact"/>
              <w:jc w:val="left"/>
            </w:pPr>
            <w:r>
              <w:t xml:space="preserve">€ 13,314.00</w:t>
            </w:r>
          </w:p>
        </w:tc>
      </w:tr>
      <w:tr>
        <w:tc>
          <w:tcPr>
            <w:gridSpan w:val="3"/>
          </w:tcPr>
          <w:p>
            <w:pPr>
              <w:pStyle w:val="Compact"/>
              <w:jc w:val="left"/>
            </w:pPr>
            <w:r>
              <w:rPr>
                <w:bCs/>
                <w:b/>
              </w:rPr>
              <w:t xml:space="preserve">TOTAL ESTIMATED COST (Incl. VAT)</w:t>
            </w:r>
          </w:p>
        </w:tc>
        <w:tc>
          <w:tcPr/>
          <w:p>
            <w:pPr>
              <w:pStyle w:val="Compact"/>
              <w:jc w:val="left"/>
            </w:pPr>
            <w:r>
              <w:rPr>
                <w:bCs/>
                <w:b/>
              </w:rPr>
              <w:t xml:space="preserve">€ 76,714.00</w:t>
            </w:r>
          </w:p>
        </w:tc>
      </w:tr>
    </w:tbl>
    <w:bookmarkEnd w:id="25"/>
    <w:bookmarkStart w:id="26" w:name="payment-schedule"/>
    <w:p>
      <w:pPr>
        <w:pStyle w:val="Heading2"/>
      </w:pPr>
      <w:r>
        <w:t xml:space="preserve">4. Payment Schedule</w:t>
      </w:r>
    </w:p>
    <w:p>
      <w:pPr>
        <w:pStyle w:val="FirstParagraph"/>
      </w:pPr>
      <w:r>
        <w:t xml:space="preserve">In accordance with standard practice for</w:t>
      </w:r>
      <w:r>
        <w:t xml:space="preserve"> </w:t>
      </w:r>
      <w:r>
        <w:t xml:space="preserve">Architect</w:t>
      </w:r>
      <w:r>
        <w:t xml:space="preserve"> </w:t>
      </w:r>
      <w:r>
        <w:t xml:space="preserve">engagements in</w:t>
      </w:r>
      <w:r>
        <w:t xml:space="preserve"> </w:t>
      </w:r>
      <w:r>
        <w:t xml:space="preserve">Belgium Brussels</w:t>
      </w:r>
      <w:r>
        <w:t xml:space="preserve">, the total fees set forth in this</w:t>
      </w:r>
      <w:r>
        <w:t xml:space="preserve"> </w:t>
      </w:r>
      <w:r>
        <w:t xml:space="preserve">Quotation Estimate</w:t>
      </w:r>
      <w:r>
        <w:t xml:space="preserve"> </w:t>
      </w:r>
      <w:r>
        <w:t xml:space="preserve">shall be invoiced and paid according to the following milestone-based schedule:</w:t>
      </w:r>
    </w:p>
    <w:p>
      <w:pPr>
        <w:numPr>
          <w:ilvl w:val="0"/>
          <w:numId w:val="1002"/>
        </w:numPr>
        <w:pStyle w:val="Compact"/>
      </w:pPr>
      <w:r>
        <w:rPr>
          <w:bCs/>
          <w:b/>
        </w:rPr>
        <w:t xml:space="preserve">10%</w:t>
      </w:r>
      <w:r>
        <w:t xml:space="preserve"> </w:t>
      </w:r>
      <w:r>
        <w:t xml:space="preserve">upon signing of the Architect's engagement contract (€ 7,671.40)</w:t>
      </w:r>
    </w:p>
    <w:p>
      <w:pPr>
        <w:numPr>
          <w:ilvl w:val="0"/>
          <w:numId w:val="1002"/>
        </w:numPr>
        <w:pStyle w:val="Compact"/>
      </w:pPr>
      <w:r>
        <w:rPr>
          <w:bCs/>
          <w:b/>
        </w:rPr>
        <w:t xml:space="preserve">15%</w:t>
      </w:r>
      <w:r>
        <w:t xml:space="preserve"> </w:t>
      </w:r>
      <w:r>
        <w:t xml:space="preserve">upon completion of Phase B – Conceptual Design approval (€ 11,507.10)</w:t>
      </w:r>
    </w:p>
    <w:p>
      <w:pPr>
        <w:numPr>
          <w:ilvl w:val="0"/>
          <w:numId w:val="1002"/>
        </w:numPr>
        <w:pStyle w:val="Compact"/>
      </w:pPr>
      <w:r>
        <w:rPr>
          <w:bCs/>
          <w:b/>
        </w:rPr>
        <w:t xml:space="preserve">25%</w:t>
      </w:r>
      <w:r>
        <w:t xml:space="preserve"> </w:t>
      </w:r>
      <w:r>
        <w:t xml:space="preserve">upon submission of the building permit application to the Brussels-Capital Region (€ 19,178.50)</w:t>
      </w:r>
    </w:p>
    <w:p>
      <w:pPr>
        <w:numPr>
          <w:ilvl w:val="0"/>
          <w:numId w:val="1002"/>
        </w:numPr>
        <w:pStyle w:val="Compact"/>
      </w:pPr>
      <w:r>
        <w:rPr>
          <w:bCs/>
          <w:b/>
        </w:rPr>
        <w:t xml:space="preserve">20%</w:t>
      </w:r>
      <w:r>
        <w:t xml:space="preserve"> </w:t>
      </w:r>
      <w:r>
        <w:t xml:space="preserve">upon grant of the building permit and commencement of construction (€ 15,342.80)</w:t>
      </w:r>
    </w:p>
    <w:p>
      <w:pPr>
        <w:numPr>
          <w:ilvl w:val="0"/>
          <w:numId w:val="1002"/>
        </w:numPr>
        <w:pStyle w:val="Compact"/>
      </w:pPr>
      <w:r>
        <w:rPr>
          <w:bCs/>
          <w:b/>
        </w:rPr>
        <w:t xml:space="preserve">25%</w:t>
      </w:r>
      <w:r>
        <w:t xml:space="preserve"> </w:t>
      </w:r>
      <w:r>
        <w:t xml:space="preserve">during the construction supervision period, invoiced monthly (€ 19,178.50)</w:t>
      </w:r>
    </w:p>
    <w:p>
      <w:pPr>
        <w:numPr>
          <w:ilvl w:val="0"/>
          <w:numId w:val="1002"/>
        </w:numPr>
        <w:pStyle w:val="Compact"/>
      </w:pPr>
      <w:r>
        <w:rPr>
          <w:bCs/>
          <w:b/>
        </w:rPr>
        <w:t xml:space="preserve">5%</w:t>
      </w:r>
      <w:r>
        <w:t xml:space="preserve"> </w:t>
      </w:r>
      <w:r>
        <w:t xml:space="preserve">upon final handover and completion of as-built documentation (€ 3,835.70)</w:t>
      </w:r>
    </w:p>
    <w:bookmarkEnd w:id="26"/>
    <w:bookmarkStart w:id="27" w:name="terms-conditions"/>
    <w:p>
      <w:pPr>
        <w:pStyle w:val="Heading2"/>
      </w:pPr>
      <w:r>
        <w:t xml:space="preserve">5. Terms &amp; Conditions</w:t>
      </w:r>
    </w:p>
    <w:p>
      <w:pPr>
        <w:numPr>
          <w:ilvl w:val="0"/>
          <w:numId w:val="1003"/>
        </w:numPr>
        <w:pStyle w:val="Compact"/>
      </w:pPr>
      <w:r>
        <w:t xml:space="preserve">This</w:t>
      </w:r>
      <w:r>
        <w:t xml:space="preserve"> </w:t>
      </w:r>
      <w:r>
        <w:t xml:space="preserve">Quotation Estimate</w:t>
      </w:r>
      <w:r>
        <w:t xml:space="preserve"> </w:t>
      </w:r>
      <w:r>
        <w:t xml:space="preserve">is valid for a period of ninety (90) calendar days from the date of issue. Beyond this period, the</w:t>
      </w:r>
      <w:r>
        <w:t xml:space="preserve"> </w:t>
      </w:r>
      <w:r>
        <w:t xml:space="preserve">Architect</w:t>
      </w:r>
      <w:r>
        <w:t xml:space="preserve"> </w:t>
      </w:r>
      <w:r>
        <w:t xml:space="preserve">reserves the right to revise fees to reflect current market conditions in</w:t>
      </w:r>
      <w:r>
        <w:t xml:space="preserve"> </w:t>
      </w:r>
      <w:r>
        <w:t xml:space="preserve">Belgium Brussels</w:t>
      </w:r>
      <w:r>
        <w:t xml:space="preserve">.</w:t>
      </w:r>
    </w:p>
    <w:p>
      <w:pPr>
        <w:numPr>
          <w:ilvl w:val="0"/>
          <w:numId w:val="1003"/>
        </w:numPr>
        <w:pStyle w:val="Compact"/>
      </w:pPr>
      <w:r>
        <w:t xml:space="preserve">All fees are quoted in Euros (EUR) and are inclusive of the</w:t>
      </w:r>
      <w:r>
        <w:t xml:space="preserve"> </w:t>
      </w:r>
      <w:r>
        <w:t xml:space="preserve">Architect</w:t>
      </w:r>
      <w:r>
        <w:t xml:space="preserve">'s professional time, standard software licensing, and routine administrative costs. Travel expenses beyond the Brussels-Capital Region boundary shall be invoiced separately at the Belgian government-approved rate.</w:t>
      </w:r>
    </w:p>
    <w:p>
      <w:pPr>
        <w:numPr>
          <w:ilvl w:val="0"/>
          <w:numId w:val="1003"/>
        </w:numPr>
        <w:pStyle w:val="Compact"/>
      </w:pPr>
      <w:r>
        <w:t xml:space="preserve">The</w:t>
      </w:r>
      <w:r>
        <w:t xml:space="preserve"> </w:t>
      </w:r>
      <w:r>
        <w:t xml:space="preserve">Architect</w:t>
      </w:r>
      <w:r>
        <w:t xml:space="preserve"> </w:t>
      </w:r>
      <w:r>
        <w:t xml:space="preserve">shall maintain professional liability insurance (RC Professionnelle) with a minimum coverage of € 1,000,000 per claim, as mandated by Belgian professional regulations for architects practising in</w:t>
      </w:r>
      <w:r>
        <w:t xml:space="preserve"> </w:t>
      </w:r>
      <w:r>
        <w:t xml:space="preserve">Belgium Brussels</w:t>
      </w:r>
      <w:r>
        <w:t xml:space="preserve">.</w:t>
      </w:r>
    </w:p>
    <w:p>
      <w:pPr>
        <w:numPr>
          <w:ilvl w:val="0"/>
          <w:numId w:val="1003"/>
        </w:numPr>
        <w:pStyle w:val="Compact"/>
      </w:pPr>
      <w:r>
        <w:t xml:space="preserve">Any changes to the project scope, additional design iterations beyond the three included in Phase B, or extensions to the construction supervision period shall be subject to a supplementary</w:t>
      </w:r>
      <w:r>
        <w:t xml:space="preserve"> </w:t>
      </w:r>
      <w:r>
        <w:t xml:space="preserve">Quotation Estimate</w:t>
      </w:r>
      <w:r>
        <w:t xml:space="preserve"> </w:t>
      </w:r>
      <w:r>
        <w:t xml:space="preserve">issued by the</w:t>
      </w:r>
      <w:r>
        <w:t xml:space="preserve"> </w:t>
      </w:r>
      <w:r>
        <w:t xml:space="preserve">Architect</w:t>
      </w:r>
      <w:r>
        <w:t xml:space="preserve"> </w:t>
      </w:r>
      <w:r>
        <w:t xml:space="preserve">prior to execution.</w:t>
      </w:r>
    </w:p>
    <w:p>
      <w:pPr>
        <w:numPr>
          <w:ilvl w:val="0"/>
          <w:numId w:val="1003"/>
        </w:numPr>
        <w:pStyle w:val="Compact"/>
      </w:pPr>
      <w:r>
        <w:t xml:space="preserve">This engagement is governed by the laws of the Kingdom of Belgium. Any disputes arising from this</w:t>
      </w:r>
      <w:r>
        <w:t xml:space="preserve"> </w:t>
      </w:r>
      <w:r>
        <w:t xml:space="preserve">Quotation Estimate</w:t>
      </w:r>
      <w:r>
        <w:t xml:space="preserve"> </w:t>
      </w:r>
      <w:r>
        <w:t xml:space="preserve">or the subsequent Architect's contract shall be submitted to the competent courts of Brussels, Belgium.</w:t>
      </w:r>
    </w:p>
    <w:p>
      <w:pPr>
        <w:numPr>
          <w:ilvl w:val="0"/>
          <w:numId w:val="1003"/>
        </w:numPr>
        <w:pStyle w:val="Compact"/>
      </w:pPr>
      <w:r>
        <w:t xml:space="preserve">The</w:t>
      </w:r>
      <w:r>
        <w:t xml:space="preserve"> </w:t>
      </w:r>
      <w:r>
        <w:t xml:space="preserve">Architect</w:t>
      </w:r>
      <w:r>
        <w:t xml:space="preserve"> </w:t>
      </w:r>
      <w:r>
        <w:t xml:space="preserve">shall comply with all applicable building regulations, energy performance standards (PEB), and urban planning directives issued by the Brussels-Capital Region and the municipality of Ixelles.</w:t>
      </w:r>
    </w:p>
    <w:p>
      <w:pPr>
        <w:numPr>
          <w:ilvl w:val="0"/>
          <w:numId w:val="1003"/>
        </w:numPr>
        <w:pStyle w:val="Compact"/>
      </w:pPr>
      <w:r>
        <w:t xml:space="preserve">Confidentiality: All project documentation, drawings, and client information shall be treated as strictly confidential in accordance with the Belgian Data Protection Act and GDPR regulations.</w:t>
      </w:r>
    </w:p>
    <w:bookmarkEnd w:id="27"/>
    <w:bookmarkStart w:id="28" w:name="acceptance-signatures"/>
    <w:p>
      <w:pPr>
        <w:pStyle w:val="Heading2"/>
      </w:pPr>
      <w:r>
        <w:t xml:space="preserve">6. Acceptance &amp; Signatures</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fee structure set forth herein for the</w:t>
      </w:r>
      <w:r>
        <w:t xml:space="preserve"> </w:t>
      </w:r>
      <w:r>
        <w:t xml:space="preserve">Architect</w:t>
      </w:r>
      <w:r>
        <w:t xml:space="preserve"> </w:t>
      </w:r>
      <w:r>
        <w:t xml:space="preserve">services to be performed in</w:t>
      </w:r>
      <w:r>
        <w:t xml:space="preserve"> </w:t>
      </w:r>
      <w:r>
        <w:t xml:space="preserve">Belgium Brussels</w:t>
      </w:r>
      <w:r>
        <w:t xml:space="preserve">. This signature constitutes a formal acceptance of the estimate and authorises the</w:t>
      </w:r>
      <w:r>
        <w:t xml:space="preserve"> </w:t>
      </w:r>
      <w:r>
        <w:t xml:space="preserve">Architect</w:t>
      </w:r>
      <w:r>
        <w:t xml:space="preserve"> </w:t>
      </w:r>
      <w:r>
        <w:t xml:space="preserve">to proceed with Phase A of the project.</w:t>
      </w:r>
    </w:p>
    <w:p>
      <w:pPr>
        <w:pStyle w:val="BodyText"/>
      </w:pPr>
      <w:r>
        <w:rPr>
          <w:bCs/>
          <w:b/>
        </w:rPr>
        <w:t xml:space="preserve">For and on behalf of the Architect:</w:t>
      </w:r>
    </w:p>
    <w:p>
      <w:pPr>
        <w:pStyle w:val="BodyText"/>
      </w:pPr>
      <w:r>
        <w:t xml:space="preserve">Atelier Architectural Brussels</w:t>
      </w:r>
    </w:p>
    <w:p>
      <w:pPr>
        <w:pStyle w:val="BodyText"/>
      </w:pPr>
      <w:r>
        <w:t xml:space="preserve">Name: Arch. Marie-Claire De Smet, M.Arch.</w:t>
      </w:r>
    </w:p>
    <w:p>
      <w:pPr>
        <w:pStyle w:val="BodyText"/>
      </w:pPr>
      <w:r>
        <w:t xml:space="preserve">Registration No.: BRU-2003-0847</w:t>
      </w:r>
    </w:p>
    <w:p>
      <w:pPr>
        <w:pStyle w:val="BodyText"/>
      </w:pPr>
      <w:r>
        <w:t xml:space="preserve">Signature &amp; Date: ___________________________</w:t>
      </w:r>
    </w:p>
    <w:p>
      <w:pPr>
        <w:pStyle w:val="BodyText"/>
      </w:pPr>
      <w:r>
        <w:rPr>
          <w:bCs/>
          <w:b/>
        </w:rPr>
        <w:t xml:space="preserve">For and on behalf of the Client:</w:t>
      </w:r>
    </w:p>
    <w:p>
      <w:pPr>
        <w:pStyle w:val="BodyText"/>
      </w:pPr>
      <w:r>
        <w:t xml:space="preserve">Name: M. Jean-Pierre Vandenberghe</w:t>
      </w:r>
    </w:p>
    <w:p>
      <w:pPr>
        <w:pStyle w:val="BodyText"/>
      </w:pPr>
      <w:r>
        <w:t xml:space="preserve">Address: 45 Avenue Louise, 1050 Brussels</w:t>
      </w:r>
    </w:p>
    <w:p>
      <w:pPr>
        <w:pStyle w:val="BodyText"/>
      </w:pPr>
      <w:r>
        <w:t xml:space="preserve">Signature &amp; Date: ___________________________</w:t>
      </w:r>
    </w:p>
    <w:p>
      <w:pPr>
        <w:pStyle w:val="BodyText"/>
      </w:pPr>
      <w:r>
        <w:t xml:space="preserve">Atelier Architectural Brussels – Licensed Architect Practice – Brussels-Capital Region, Belgium</w:t>
      </w:r>
    </w:p>
    <w:p>
      <w:pPr>
        <w:pStyle w:val="BodyText"/>
      </w:pPr>
      <w:r>
        <w:t xml:space="preserve">This Quotation Estimate (Ref: QTE-2025-BRU-0472) is issued in duplicate. One copy for the Architect's records, one copy for the Client.</w:t>
      </w:r>
    </w:p>
    <w:p>
      <w:pPr>
        <w:pStyle w:val="BodyText"/>
      </w:pPr>
      <w:r>
        <w:t xml:space="preserve">Document generated on 14 June 2025 | Page 1 of 1</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Architect Services - Belgium Brussels</dc:title>
  <dc:creator/>
  <dc:language>en</dc:language>
  <cp:keywords/>
  <dcterms:created xsi:type="dcterms:W3CDTF">2026-10-10T05:44:44Z</dcterms:created>
  <dcterms:modified xsi:type="dcterms:W3CDTF">2026-10-10T05:44:44Z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