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Architect Services — Brazil Brasília</w:t>
      </w:r>
    </w:p>
    <w:p>
      <w:pPr>
        <w:pStyle w:val="BodyText"/>
      </w:pPr>
      <w:r>
        <w:t xml:space="preserve">Document No. QE-2025-0847 | Brasília, DF, Brazil</w:t>
      </w:r>
    </w:p>
    <w:bookmarkEnd w:id="20"/>
    <w:bookmarkStart w:id="21" w:name="prepared-by-architect-firm"/>
    <w:p>
      <w:pPr>
        <w:pStyle w:val="Heading3"/>
      </w:pPr>
      <w:r>
        <w:t xml:space="preserve">Prepared By (Architect Firm)</w:t>
      </w:r>
    </w:p>
    <w:p>
      <w:pPr>
        <w:pStyle w:val="FirstParagraph"/>
      </w:pPr>
      <w:r>
        <w:rPr>
          <w:bCs/>
          <w:b/>
        </w:rPr>
        <w:t xml:space="preserve">Studio Arquitetura Brasília Ltda.</w:t>
      </w:r>
    </w:p>
    <w:p>
      <w:pPr>
        <w:pStyle w:val="BodyText"/>
      </w:pPr>
      <w:r>
        <w:t xml:space="preserve">CNPJ: 12.345.678/0001-90</w:t>
      </w:r>
    </w:p>
    <w:p>
      <w:pPr>
        <w:pStyle w:val="BodyText"/>
      </w:pPr>
      <w:r>
        <w:t xml:space="preserve">CAU/DF Registration: A12345-6</w:t>
      </w:r>
    </w:p>
    <w:p>
      <w:pPr>
        <w:pStyle w:val="BodyText"/>
      </w:pPr>
      <w:r>
        <w:t xml:space="preserve">Setor Comercial Sul, Quadra 03, Bloco A, Sala 1200</w:t>
      </w:r>
    </w:p>
    <w:p>
      <w:pPr>
        <w:pStyle w:val="BodyText"/>
      </w:pPr>
      <w:r>
        <w:t xml:space="preserve">Brasília – DF, 70304-910, Brazil</w:t>
      </w:r>
    </w:p>
    <w:p>
      <w:pPr>
        <w:pStyle w:val="BodyText"/>
      </w:pPr>
      <w:r>
        <w:t xml:space="preserve">Email: contato@studioarqbrasilia.com.br</w:t>
      </w:r>
    </w:p>
    <w:p>
      <w:pPr>
        <w:pStyle w:val="BodyText"/>
      </w:pPr>
      <w:r>
        <w:t xml:space="preserve">Phone: +55 (61) 3344-5566</w:t>
      </w:r>
    </w:p>
    <w:bookmarkEnd w:id="21"/>
    <w:bookmarkStart w:id="22" w:name="prepared-for-client"/>
    <w:p>
      <w:pPr>
        <w:pStyle w:val="Heading3"/>
      </w:pPr>
      <w:r>
        <w:t xml:space="preserve">Prepared For (Client)</w:t>
      </w:r>
    </w:p>
    <w:p>
      <w:pPr>
        <w:pStyle w:val="FirstParagraph"/>
      </w:pPr>
      <w:r>
        <w:rPr>
          <w:bCs/>
          <w:b/>
        </w:rPr>
        <w:t xml:space="preserve">Mr. Ricardo Almeida Santos</w:t>
      </w:r>
    </w:p>
    <w:p>
      <w:pPr>
        <w:pStyle w:val="BodyText"/>
      </w:pPr>
      <w:r>
        <w:t xml:space="preserve">CPF: 123.456.789-00</w:t>
      </w:r>
    </w:p>
    <w:p>
      <w:pPr>
        <w:pStyle w:val="BodyText"/>
      </w:pPr>
      <w:r>
        <w:t xml:space="preserve">SHIS QI 05, Lote 12, Casa 03</w:t>
      </w:r>
    </w:p>
    <w:p>
      <w:pPr>
        <w:pStyle w:val="BodyText"/>
      </w:pPr>
      <w:r>
        <w:t xml:space="preserve">Setor Habitacional Sul, Brasília – DF, 71610-050, Brazil</w:t>
      </w:r>
    </w:p>
    <w:p>
      <w:pPr>
        <w:pStyle w:val="BodyText"/>
      </w:pPr>
      <w:r>
        <w:t xml:space="preserve">Email: r.almeida@email.com</w:t>
      </w:r>
    </w:p>
    <w:p>
      <w:pPr>
        <w:pStyle w:val="BodyText"/>
      </w:pPr>
      <w:r>
        <w:t xml:space="preserve">Phone: +55 (61) 99876-5432</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calendar days from issue date</w:t>
      </w:r>
    </w:p>
    <w:p>
      <w:pPr>
        <w:pStyle w:val="BodyText"/>
      </w:pPr>
      <w:r>
        <w:rPr>
          <w:bCs/>
          <w:b/>
        </w:rPr>
        <w:t xml:space="preserve">Currency:</w:t>
      </w:r>
      <w:r>
        <w:t xml:space="preserve"> </w:t>
      </w:r>
      <w:r>
        <w:t xml:space="preserve">Brazilian Real (BRL / R$)</w:t>
      </w:r>
    </w:p>
    <w:p>
      <w:pPr>
        <w:pStyle w:val="BodyText"/>
      </w:pPr>
      <w:r>
        <w:rPr>
          <w:bCs/>
          <w:b/>
        </w:rPr>
        <w:t xml:space="preserve">Project Location:</w:t>
      </w:r>
      <w:r>
        <w:t xml:space="preserve"> </w:t>
      </w:r>
      <w:r>
        <w:t xml:space="preserve">Brasília, Distrito Federal, Brazil</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Residential Residence – SHIS QI 05</w:t>
      </w:r>
    </w:p>
    <w:p>
      <w:pPr>
        <w:pStyle w:val="BodyText"/>
      </w:pPr>
      <w:r>
        <w:rPr>
          <w:bCs/>
          <w:b/>
        </w:rPr>
        <w:t xml:space="preserve">Property Area:</w:t>
      </w:r>
      <w:r>
        <w:t xml:space="preserve"> </w:t>
      </w:r>
      <w:r>
        <w:t xml:space="preserve">450 m² lot / 320 m² built area</w:t>
      </w:r>
    </w:p>
    <w:p>
      <w:pPr>
        <w:pStyle w:val="BodyText"/>
      </w:pPr>
      <w:r>
        <w:rPr>
          <w:bCs/>
          <w:b/>
        </w:rPr>
        <w:t xml:space="preserve">Project Type:</w:t>
      </w:r>
      <w:r>
        <w:t xml:space="preserve"> </w:t>
      </w:r>
      <w:r>
        <w:t xml:space="preserve">New residential construction</w:t>
      </w:r>
    </w:p>
    <w:p>
      <w:pPr>
        <w:pStyle w:val="BodyText"/>
      </w:pPr>
      <w:r>
        <w:rPr>
          <w:bCs/>
          <w:b/>
        </w:rPr>
        <w:t xml:space="preserve">Architect in Charge:</w:t>
      </w:r>
      <w:r>
        <w:t xml:space="preserve"> </w:t>
      </w:r>
      <w:r>
        <w:t xml:space="preserve">Eng.ª Marina Costa, CAU/DF A98765-4</w:t>
      </w:r>
    </w:p>
    <w:bookmarkEnd w:id="24"/>
    <w:bookmarkStart w:id="25" w:name="scope-of-architect-services"/>
    <w:p>
      <w:pPr>
        <w:pStyle w:val="Heading2"/>
      </w:pPr>
      <w:r>
        <w:t xml:space="preserve">1. Scope of Architect Services</w:t>
      </w:r>
    </w:p>
    <w:p>
      <w:pPr>
        <w:pStyle w:val="FirstParagraph"/>
      </w:pPr>
      <w:r>
        <w:t xml:space="preserve">This Quotation Estimate is issued by Studio Arquitetura Brasília Ltda. to provide a comprehensive breakdown of professional Architect services for the design, planning, and construction supervision of a residential property located in the city of Brazil Brasília. The Architect team will deliver all phases of architectural development in full compliance with the District Federal building code (Código de Obras do Distrito Federal), the IBAMA environmental regulations applicable to the Brasília metropolitan area, and all municipal zoning requirements established by the Plano Diretor de Brasília.</w:t>
      </w:r>
    </w:p>
    <w:p>
      <w:pPr>
        <w:pStyle w:val="BodyText"/>
      </w:pPr>
      <w:r>
        <w:t xml:space="preserve">The Architect engagement encompasses conceptual design, schematic design, detailed construction documentation, interior planning, landscape integration, and on-site construction supervision. All deliverables will be produced in accordance with the standards set by the Conselho de Arquitetura e Urbanismo do Distrito Federal (CAU/DF) and will be submitted to the relevant Brasília municipal authorities for permitting and approval.</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Architect Service</w:t>
            </w:r>
          </w:p>
        </w:tc>
        <w:tc>
          <w:tcPr/>
          <w:p>
            <w:pPr>
              <w:pStyle w:val="Compact"/>
              <w:jc w:val="left"/>
            </w:pPr>
            <w:r>
              <w:t xml:space="preserve">Phase / Deliverable</w:t>
            </w:r>
          </w:p>
        </w:tc>
        <w:tc>
          <w:tcPr/>
          <w:p>
            <w:pPr>
              <w:pStyle w:val="Compact"/>
              <w:jc w:val="left"/>
            </w:pPr>
            <w:r>
              <w:t xml:space="preserve">Duration</w:t>
            </w:r>
          </w:p>
        </w:tc>
        <w:tc>
          <w:tcPr/>
          <w:p>
            <w:pPr>
              <w:pStyle w:val="Compact"/>
              <w:jc w:val="left"/>
            </w:pPr>
            <w:r>
              <w:t xml:space="preserve">Cost (BRL)</w:t>
            </w:r>
          </w:p>
        </w:tc>
      </w:tr>
      <w:tr>
        <w:tc>
          <w:tcPr/>
          <w:p>
            <w:pPr>
              <w:pStyle w:val="Compact"/>
              <w:jc w:val="left"/>
            </w:pPr>
            <w:r>
              <w:t xml:space="preserve">01</w:t>
            </w:r>
          </w:p>
        </w:tc>
        <w:tc>
          <w:tcPr/>
          <w:p>
            <w:pPr>
              <w:pStyle w:val="Compact"/>
              <w:jc w:val="left"/>
            </w:pPr>
            <w:r>
              <w:t xml:space="preserve">Initial site survey, topographic analysis, and feasibility study of the 450 m² lot in SHIS QI 05, Brasília – DF</w:t>
            </w:r>
          </w:p>
        </w:tc>
        <w:tc>
          <w:tcPr/>
          <w:p>
            <w:pPr>
              <w:pStyle w:val="Compact"/>
              <w:jc w:val="left"/>
            </w:pPr>
            <w:r>
              <w:t xml:space="preserve">Pre-Design</w:t>
            </w:r>
          </w:p>
        </w:tc>
        <w:tc>
          <w:tcPr/>
          <w:p>
            <w:pPr>
              <w:pStyle w:val="Compact"/>
              <w:jc w:val="left"/>
            </w:pPr>
            <w:r>
              <w:t xml:space="preserve">2 weeks</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Conceptual design development including massing studies, orientation analysis, and three (3) preliminary layout options for client review</w:t>
            </w:r>
          </w:p>
        </w:tc>
        <w:tc>
          <w:tcPr/>
          <w:p>
            <w:pPr>
              <w:pStyle w:val="Compact"/>
              <w:jc w:val="left"/>
            </w:pPr>
            <w:r>
              <w:t xml:space="preserve">Concept Design</w:t>
            </w:r>
          </w:p>
        </w:tc>
        <w:tc>
          <w:tcPr/>
          <w:p>
            <w:pPr>
              <w:pStyle w:val="Compact"/>
              <w:jc w:val="left"/>
            </w:pPr>
            <w:r>
              <w:t xml:space="preserve">4 weeks</w:t>
            </w:r>
          </w:p>
        </w:tc>
        <w:tc>
          <w:tcPr/>
          <w:p>
            <w:pPr>
              <w:pStyle w:val="Compact"/>
              <w:jc w:val="left"/>
            </w:pPr>
            <w:r>
              <w:t xml:space="preserve">R$ 18.000,00</w:t>
            </w:r>
          </w:p>
        </w:tc>
      </w:tr>
      <w:tr>
        <w:tc>
          <w:tcPr/>
          <w:p>
            <w:pPr>
              <w:pStyle w:val="Compact"/>
              <w:jc w:val="left"/>
            </w:pPr>
            <w:r>
              <w:t xml:space="preserve">03</w:t>
            </w:r>
          </w:p>
        </w:tc>
        <w:tc>
          <w:tcPr/>
          <w:p>
            <w:pPr>
              <w:pStyle w:val="Compact"/>
              <w:jc w:val="left"/>
            </w:pPr>
            <w:r>
              <w:t xml:space="preserve">Schematic design with architectural floor plans, elevations, sections, and 3D photorealistic renderings of the 320 m² residence</w:t>
            </w:r>
          </w:p>
        </w:tc>
        <w:tc>
          <w:tcPr/>
          <w:p>
            <w:pPr>
              <w:pStyle w:val="Compact"/>
              <w:jc w:val="left"/>
            </w:pPr>
            <w:r>
              <w:t xml:space="preserve">Schematic Design</w:t>
            </w:r>
          </w:p>
        </w:tc>
        <w:tc>
          <w:tcPr/>
          <w:p>
            <w:pPr>
              <w:pStyle w:val="Compact"/>
              <w:jc w:val="left"/>
            </w:pPr>
            <w:r>
              <w:t xml:space="preserve">6 weeks</w:t>
            </w:r>
          </w:p>
        </w:tc>
        <w:tc>
          <w:tcPr/>
          <w:p>
            <w:pPr>
              <w:pStyle w:val="Compact"/>
              <w:jc w:val="left"/>
            </w:pPr>
            <w:r>
              <w:t xml:space="preserve">R$ 25.000,00</w:t>
            </w:r>
          </w:p>
        </w:tc>
      </w:tr>
      <w:tr>
        <w:tc>
          <w:tcPr/>
          <w:p>
            <w:pPr>
              <w:pStyle w:val="Compact"/>
              <w:jc w:val="left"/>
            </w:pPr>
            <w:r>
              <w:t xml:space="preserve">04</w:t>
            </w:r>
          </w:p>
        </w:tc>
        <w:tc>
          <w:tcPr/>
          <w:p>
            <w:pPr>
              <w:pStyle w:val="Compact"/>
              <w:jc w:val="left"/>
            </w:pPr>
            <w:r>
              <w:t xml:space="preserve">Detailed construction documentation: structural coordination drawings, electrical and hydraulic schematics, HVAC layout, and material specifications</w:t>
            </w:r>
          </w:p>
        </w:tc>
        <w:tc>
          <w:tcPr/>
          <w:p>
            <w:pPr>
              <w:pStyle w:val="Compact"/>
              <w:jc w:val="left"/>
            </w:pPr>
            <w:r>
              <w:t xml:space="preserve">Design Development</w:t>
            </w:r>
          </w:p>
        </w:tc>
        <w:tc>
          <w:tcPr/>
          <w:p>
            <w:pPr>
              <w:pStyle w:val="Compact"/>
              <w:jc w:val="left"/>
            </w:pPr>
            <w:r>
              <w:t xml:space="preserve">8 weeks</w:t>
            </w:r>
          </w:p>
        </w:tc>
        <w:tc>
          <w:tcPr/>
          <w:p>
            <w:pPr>
              <w:pStyle w:val="Compact"/>
              <w:jc w:val="left"/>
            </w:pPr>
            <w:r>
              <w:t xml:space="preserve">R$ 32.000,00</w:t>
            </w:r>
          </w:p>
        </w:tc>
      </w:tr>
      <w:tr>
        <w:tc>
          <w:tcPr/>
          <w:p>
            <w:pPr>
              <w:pStyle w:val="Compact"/>
              <w:jc w:val="left"/>
            </w:pPr>
            <w:r>
              <w:t xml:space="preserve">05</w:t>
            </w:r>
          </w:p>
        </w:tc>
        <w:tc>
          <w:tcPr/>
          <w:p>
            <w:pPr>
              <w:pStyle w:val="Compact"/>
              <w:jc w:val="left"/>
            </w:pPr>
            <w:r>
              <w:t xml:space="preserve">Interior design package including furniture layout, finish schedules, lighting design, and custom millwork drawings</w:t>
            </w:r>
          </w:p>
        </w:tc>
        <w:tc>
          <w:tcPr/>
          <w:p>
            <w:pPr>
              <w:pStyle w:val="Compact"/>
              <w:jc w:val="left"/>
            </w:pPr>
            <w:r>
              <w:t xml:space="preserve">Interior Design</w:t>
            </w:r>
          </w:p>
        </w:tc>
        <w:tc>
          <w:tcPr/>
          <w:p>
            <w:pPr>
              <w:pStyle w:val="Compact"/>
              <w:jc w:val="left"/>
            </w:pPr>
            <w:r>
              <w:t xml:space="preserve">5 weeks</w:t>
            </w:r>
          </w:p>
        </w:tc>
        <w:tc>
          <w:tcPr/>
          <w:p>
            <w:pPr>
              <w:pStyle w:val="Compact"/>
              <w:jc w:val="left"/>
            </w:pPr>
            <w:r>
              <w:t xml:space="preserve">R$ 15.000,00</w:t>
            </w:r>
          </w:p>
        </w:tc>
      </w:tr>
      <w:tr>
        <w:tc>
          <w:tcPr/>
          <w:p>
            <w:pPr>
              <w:pStyle w:val="Compact"/>
              <w:jc w:val="left"/>
            </w:pPr>
            <w:r>
              <w:t xml:space="preserve">06</w:t>
            </w:r>
          </w:p>
        </w:tc>
        <w:tc>
          <w:tcPr/>
          <w:p>
            <w:pPr>
              <w:pStyle w:val="Compact"/>
              <w:jc w:val="left"/>
            </w:pPr>
            <w:r>
              <w:t xml:space="preserve">Landscape architecture plan integrating native Cerrado vegetation, irrigation system design, and outdoor living areas compliant with Brasília municipal green-space regulations</w:t>
            </w:r>
          </w:p>
        </w:tc>
        <w:tc>
          <w:tcPr/>
          <w:p>
            <w:pPr>
              <w:pStyle w:val="Compact"/>
              <w:jc w:val="left"/>
            </w:pPr>
            <w:r>
              <w:t xml:space="preserve">Landscape Design</w:t>
            </w:r>
          </w:p>
        </w:tc>
        <w:tc>
          <w:tcPr/>
          <w:p>
            <w:pPr>
              <w:pStyle w:val="Compact"/>
              <w:jc w:val="left"/>
            </w:pPr>
            <w:r>
              <w:t xml:space="preserve">3 weeks</w:t>
            </w:r>
          </w:p>
        </w:tc>
        <w:tc>
          <w:tcPr/>
          <w:p>
            <w:pPr>
              <w:pStyle w:val="Compact"/>
              <w:jc w:val="left"/>
            </w:pPr>
            <w:r>
              <w:t xml:space="preserve">R$ 9.500,00</w:t>
            </w:r>
          </w:p>
        </w:tc>
      </w:tr>
      <w:tr>
        <w:tc>
          <w:tcPr/>
          <w:p>
            <w:pPr>
              <w:pStyle w:val="Compact"/>
              <w:jc w:val="left"/>
            </w:pPr>
            <w:r>
              <w:t xml:space="preserve">07</w:t>
            </w:r>
          </w:p>
        </w:tc>
        <w:tc>
          <w:tcPr/>
          <w:p>
            <w:pPr>
              <w:pStyle w:val="Compact"/>
              <w:jc w:val="left"/>
            </w:pPr>
            <w:r>
              <w:t xml:space="preserve">Permitting and regulatory submission: preparation and filing of all documents with the Secretaria de Urbanismo e Habitação (SUH) of Brasília, including ART/RRT registration</w:t>
            </w:r>
          </w:p>
        </w:tc>
        <w:tc>
          <w:tcPr/>
          <w:p>
            <w:pPr>
              <w:pStyle w:val="Compact"/>
              <w:jc w:val="left"/>
            </w:pPr>
            <w:r>
              <w:t xml:space="preserve">Permitting</w:t>
            </w:r>
          </w:p>
        </w:tc>
        <w:tc>
          <w:tcPr/>
          <w:p>
            <w:pPr>
              <w:pStyle w:val="Compact"/>
              <w:jc w:val="left"/>
            </w:pPr>
            <w:r>
              <w:t xml:space="preserve">4 weeks</w:t>
            </w:r>
          </w:p>
        </w:tc>
        <w:tc>
          <w:tcPr/>
          <w:p>
            <w:pPr>
              <w:pStyle w:val="Compact"/>
              <w:jc w:val="left"/>
            </w:pPr>
            <w:r>
              <w:t xml:space="preserve">R$ 7.500,00</w:t>
            </w:r>
          </w:p>
        </w:tc>
      </w:tr>
      <w:tr>
        <w:tc>
          <w:tcPr/>
          <w:p>
            <w:pPr>
              <w:pStyle w:val="Compact"/>
              <w:jc w:val="left"/>
            </w:pPr>
            <w:r>
              <w:t xml:space="preserve">08</w:t>
            </w:r>
          </w:p>
        </w:tc>
        <w:tc>
          <w:tcPr/>
          <w:p>
            <w:pPr>
              <w:pStyle w:val="Compact"/>
              <w:jc w:val="left"/>
            </w:pPr>
            <w:r>
              <w:t xml:space="preserve">Construction supervision: bi-weekly site visits, quality control inspections, coordination with contractors, and issuance of as-built documentation</w:t>
            </w:r>
          </w:p>
        </w:tc>
        <w:tc>
          <w:tcPr/>
          <w:p>
            <w:pPr>
              <w:pStyle w:val="Compact"/>
              <w:jc w:val="left"/>
            </w:pPr>
            <w:r>
              <w:t xml:space="preserve">Construction Phase</w:t>
            </w:r>
          </w:p>
        </w:tc>
        <w:tc>
          <w:tcPr/>
          <w:p>
            <w:pPr>
              <w:pStyle w:val="Compact"/>
              <w:jc w:val="left"/>
            </w:pPr>
            <w:r>
              <w:t xml:space="preserve">12 months</w:t>
            </w:r>
          </w:p>
        </w:tc>
        <w:tc>
          <w:tcPr/>
          <w:p>
            <w:pPr>
              <w:pStyle w:val="Compact"/>
              <w:jc w:val="left"/>
            </w:pPr>
            <w:r>
              <w:t xml:space="preserve">R$ 45.000,00</w:t>
            </w:r>
          </w:p>
        </w:tc>
      </w:tr>
      <w:tr>
        <w:tc>
          <w:tcPr/>
          <w:p>
            <w:pPr>
              <w:pStyle w:val="Compact"/>
              <w:jc w:val="left"/>
            </w:pPr>
            <w:r>
              <w:t xml:space="preserve">09</w:t>
            </w:r>
          </w:p>
        </w:tc>
        <w:tc>
          <w:tcPr/>
          <w:p>
            <w:pPr>
              <w:pStyle w:val="Compact"/>
              <w:jc w:val="left"/>
            </w:pPr>
            <w:r>
              <w:t xml:space="preserve">Final handover package: complete as-built drawings, warranty documentation, maintenance manuals, and final CAU/DF certification</w:t>
            </w:r>
          </w:p>
        </w:tc>
        <w:tc>
          <w:tcPr/>
          <w:p>
            <w:pPr>
              <w:pStyle w:val="Compact"/>
              <w:jc w:val="left"/>
            </w:pPr>
            <w:r>
              <w:t xml:space="preserve">Close-Out</w:t>
            </w:r>
          </w:p>
        </w:tc>
        <w:tc>
          <w:tcPr/>
          <w:p>
            <w:pPr>
              <w:pStyle w:val="Compact"/>
              <w:jc w:val="left"/>
            </w:pPr>
            <w:r>
              <w:t xml:space="preserve">2 weeks</w:t>
            </w:r>
          </w:p>
        </w:tc>
        <w:tc>
          <w:tcPr/>
          <w:p>
            <w:pPr>
              <w:pStyle w:val="Compact"/>
              <w:jc w:val="left"/>
            </w:pPr>
            <w:r>
              <w:t xml:space="preserve">R$ 4.500,00</w:t>
            </w:r>
          </w:p>
        </w:tc>
      </w:tr>
      <w:tr>
        <w:tc>
          <w:tcPr>
            <w:gridSpan w:val="4"/>
          </w:tcPr>
          <w:p>
            <w:pPr>
              <w:pStyle w:val="Compact"/>
              <w:jc w:val="right"/>
            </w:pPr>
            <w:r>
              <w:t xml:space="preserve">TOTAL QUOTATION ESTIMATE (Architect Services – Brazil Brasília)</w:t>
            </w:r>
          </w:p>
        </w:tc>
        <w:tc>
          <w:tcPr/>
          <w:p>
            <w:pPr>
              <w:pStyle w:val="Compact"/>
              <w:jc w:val="left"/>
            </w:pPr>
            <w:r>
              <w:t xml:space="preserve">R$ 165.000,00</w:t>
            </w:r>
          </w:p>
        </w:tc>
      </w:tr>
    </w:tbl>
    <w:bookmarkEnd w:id="26"/>
    <w:bookmarkStart w:id="27" w:name="payment-schedule"/>
    <w:p>
      <w:pPr>
        <w:pStyle w:val="Heading2"/>
      </w:pPr>
      <w:r>
        <w:t xml:space="preserve">3. Payment Schedule</w:t>
      </w:r>
    </w:p>
    <w:p>
      <w:pPr>
        <w:pStyle w:val="FirstParagraph"/>
      </w:pPr>
      <w:r>
        <w:t xml:space="preserve">The total Quotation Estimate amount of R$ 165.000,00 shall be paid in the following installments, aligned with the Architect project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Milestone Trigger</w:t>
            </w:r>
          </w:p>
        </w:tc>
        <w:tc>
          <w:tcPr/>
          <w:p>
            <w:pPr>
              <w:pStyle w:val="Compact"/>
              <w:jc w:val="left"/>
            </w:pPr>
            <w:r>
              <w:t xml:space="preserve">Percentage</w:t>
            </w:r>
          </w:p>
        </w:tc>
        <w:tc>
          <w:tcPr/>
          <w:p>
            <w:pPr>
              <w:pStyle w:val="Compact"/>
              <w:jc w:val="left"/>
            </w:pPr>
            <w:r>
              <w:t xml:space="preserve">Amount (BRL)</w:t>
            </w:r>
          </w:p>
        </w:tc>
      </w:tr>
      <w:tr>
        <w:tc>
          <w:tcPr/>
          <w:p>
            <w:pPr>
              <w:pStyle w:val="Compact"/>
              <w:jc w:val="left"/>
            </w:pPr>
            <w:r>
              <w:t xml:space="preserve">1st</w:t>
            </w:r>
          </w:p>
        </w:tc>
        <w:tc>
          <w:tcPr/>
          <w:p>
            <w:pPr>
              <w:pStyle w:val="Compact"/>
              <w:jc w:val="left"/>
            </w:pPr>
            <w:r>
              <w:t xml:space="preserve">Contract signing and project mobilization</w:t>
            </w:r>
          </w:p>
        </w:tc>
        <w:tc>
          <w:tcPr/>
          <w:p>
            <w:pPr>
              <w:pStyle w:val="Compact"/>
              <w:jc w:val="left"/>
            </w:pPr>
            <w:r>
              <w:t xml:space="preserve">15%</w:t>
            </w:r>
          </w:p>
        </w:tc>
        <w:tc>
          <w:tcPr/>
          <w:p>
            <w:pPr>
              <w:pStyle w:val="Compact"/>
              <w:jc w:val="left"/>
            </w:pPr>
            <w:r>
              <w:t xml:space="preserve">R$ 24.750,00</w:t>
            </w:r>
          </w:p>
        </w:tc>
      </w:tr>
      <w:tr>
        <w:tc>
          <w:tcPr/>
          <w:p>
            <w:pPr>
              <w:pStyle w:val="Compact"/>
              <w:jc w:val="left"/>
            </w:pPr>
            <w:r>
              <w:t xml:space="preserve">2nd</w:t>
            </w:r>
          </w:p>
        </w:tc>
        <w:tc>
          <w:tcPr/>
          <w:p>
            <w:pPr>
              <w:pStyle w:val="Compact"/>
              <w:jc w:val="left"/>
            </w:pPr>
            <w:r>
              <w:t xml:space="preserve">Approval of Concept Design</w:t>
            </w:r>
          </w:p>
        </w:tc>
        <w:tc>
          <w:tcPr/>
          <w:p>
            <w:pPr>
              <w:pStyle w:val="Compact"/>
              <w:jc w:val="left"/>
            </w:pPr>
            <w:r>
              <w:t xml:space="preserve">15%</w:t>
            </w:r>
          </w:p>
        </w:tc>
        <w:tc>
          <w:tcPr/>
          <w:p>
            <w:pPr>
              <w:pStyle w:val="Compact"/>
              <w:jc w:val="left"/>
            </w:pPr>
            <w:r>
              <w:t xml:space="preserve">R$ 24.750,00</w:t>
            </w:r>
          </w:p>
        </w:tc>
      </w:tr>
      <w:tr>
        <w:tc>
          <w:tcPr/>
          <w:p>
            <w:pPr>
              <w:pStyle w:val="Compact"/>
              <w:jc w:val="left"/>
            </w:pPr>
            <w:r>
              <w:t xml:space="preserve">3rd</w:t>
            </w:r>
          </w:p>
        </w:tc>
        <w:tc>
          <w:tcPr/>
          <w:p>
            <w:pPr>
              <w:pStyle w:val="Compact"/>
              <w:jc w:val="left"/>
            </w:pPr>
            <w:r>
              <w:t xml:space="preserve">Approval of Schematic Design and 3D renderings</w:t>
            </w:r>
          </w:p>
        </w:tc>
        <w:tc>
          <w:tcPr/>
          <w:p>
            <w:pPr>
              <w:pStyle w:val="Compact"/>
              <w:jc w:val="left"/>
            </w:pPr>
            <w:r>
              <w:t xml:space="preserve">20%</w:t>
            </w:r>
          </w:p>
        </w:tc>
        <w:tc>
          <w:tcPr/>
          <w:p>
            <w:pPr>
              <w:pStyle w:val="Compact"/>
              <w:jc w:val="left"/>
            </w:pPr>
            <w:r>
              <w:t xml:space="preserve">R$ 33.000,00</w:t>
            </w:r>
          </w:p>
        </w:tc>
      </w:tr>
      <w:tr>
        <w:tc>
          <w:tcPr/>
          <w:p>
            <w:pPr>
              <w:pStyle w:val="Compact"/>
              <w:jc w:val="left"/>
            </w:pPr>
            <w:r>
              <w:t xml:space="preserve">4th</w:t>
            </w:r>
          </w:p>
        </w:tc>
        <w:tc>
          <w:tcPr/>
          <w:p>
            <w:pPr>
              <w:pStyle w:val="Compact"/>
              <w:jc w:val="left"/>
            </w:pPr>
            <w:r>
              <w:t xml:space="preserve">Delivery of full construction documentation</w:t>
            </w:r>
          </w:p>
        </w:tc>
        <w:tc>
          <w:tcPr/>
          <w:p>
            <w:pPr>
              <w:pStyle w:val="Compact"/>
              <w:jc w:val="left"/>
            </w:pPr>
            <w:r>
              <w:t xml:space="preserve">20%</w:t>
            </w:r>
          </w:p>
        </w:tc>
        <w:tc>
          <w:tcPr/>
          <w:p>
            <w:pPr>
              <w:pStyle w:val="Compact"/>
              <w:jc w:val="left"/>
            </w:pPr>
            <w:r>
              <w:t xml:space="preserve">R$ 33.000,00</w:t>
            </w:r>
          </w:p>
        </w:tc>
      </w:tr>
      <w:tr>
        <w:tc>
          <w:tcPr/>
          <w:p>
            <w:pPr>
              <w:pStyle w:val="Compact"/>
              <w:jc w:val="left"/>
            </w:pPr>
            <w:r>
              <w:t xml:space="preserve">5th</w:t>
            </w:r>
          </w:p>
        </w:tc>
        <w:tc>
          <w:tcPr/>
          <w:p>
            <w:pPr>
              <w:pStyle w:val="Compact"/>
              <w:jc w:val="left"/>
            </w:pPr>
            <w:r>
              <w:t xml:space="preserve">Obtaining of building permit from Brasília SUH</w:t>
            </w:r>
          </w:p>
        </w:tc>
        <w:tc>
          <w:tcPr/>
          <w:p>
            <w:pPr>
              <w:pStyle w:val="Compact"/>
              <w:jc w:val="left"/>
            </w:pPr>
            <w:r>
              <w:t xml:space="preserve">10%</w:t>
            </w:r>
          </w:p>
        </w:tc>
        <w:tc>
          <w:tcPr/>
          <w:p>
            <w:pPr>
              <w:pStyle w:val="Compact"/>
              <w:jc w:val="left"/>
            </w:pPr>
            <w:r>
              <w:t xml:space="preserve">R$ 16.500,00</w:t>
            </w:r>
          </w:p>
        </w:tc>
      </w:tr>
      <w:tr>
        <w:tc>
          <w:tcPr/>
          <w:p>
            <w:pPr>
              <w:pStyle w:val="Compact"/>
              <w:jc w:val="left"/>
            </w:pPr>
            <w:r>
              <w:t xml:space="preserve">6th</w:t>
            </w:r>
          </w:p>
        </w:tc>
        <w:tc>
          <w:tcPr/>
          <w:p>
            <w:pPr>
              <w:pStyle w:val="Compact"/>
              <w:jc w:val="left"/>
            </w:pPr>
            <w:r>
              <w:t xml:space="preserve">Monthly during construction supervision (12 months)</w:t>
            </w:r>
          </w:p>
        </w:tc>
        <w:tc>
          <w:tcPr/>
          <w:p>
            <w:pPr>
              <w:pStyle w:val="Compact"/>
              <w:jc w:val="left"/>
            </w:pPr>
            <w:r>
              <w:t xml:space="preserve">15%</w:t>
            </w:r>
          </w:p>
        </w:tc>
        <w:tc>
          <w:tcPr/>
          <w:p>
            <w:pPr>
              <w:pStyle w:val="Compact"/>
              <w:jc w:val="left"/>
            </w:pPr>
            <w:r>
              <w:t xml:space="preserve">R$ 24.750,00</w:t>
            </w:r>
          </w:p>
        </w:tc>
      </w:tr>
      <w:tr>
        <w:tc>
          <w:tcPr/>
          <w:p>
            <w:pPr>
              <w:pStyle w:val="Compact"/>
              <w:jc w:val="left"/>
            </w:pPr>
            <w:r>
              <w:t xml:space="preserve">7th</w:t>
            </w:r>
          </w:p>
        </w:tc>
        <w:tc>
          <w:tcPr/>
          <w:p>
            <w:pPr>
              <w:pStyle w:val="Compact"/>
              <w:jc w:val="left"/>
            </w:pPr>
            <w:r>
              <w:t xml:space="preserve">Final handover and project close-out</w:t>
            </w:r>
          </w:p>
        </w:tc>
        <w:tc>
          <w:tcPr/>
          <w:p>
            <w:pPr>
              <w:pStyle w:val="Compact"/>
              <w:jc w:val="left"/>
            </w:pPr>
            <w:r>
              <w:t xml:space="preserve">5%</w:t>
            </w:r>
          </w:p>
        </w:tc>
        <w:tc>
          <w:tcPr/>
          <w:p>
            <w:pPr>
              <w:pStyle w:val="Compact"/>
              <w:jc w:val="left"/>
            </w:pPr>
            <w:r>
              <w:t xml:space="preserve">R$ 8.250,00</w:t>
            </w:r>
          </w:p>
        </w:tc>
      </w:tr>
    </w:tbl>
    <w:bookmarkEnd w:id="27"/>
    <w:bookmarkStart w:id="29" w:name="terms-and-conditions"/>
    <w:p>
      <w:pPr>
        <w:pStyle w:val="Heading2"/>
      </w:pPr>
      <w:r>
        <w:t xml:space="preserve">4. Terms and Conditions</w:t>
      </w:r>
    </w:p>
    <w:bookmarkStart w:id="28" w:name="X52d4b944ca20d268ca0c08e73a17dfe08d93217"/>
    <w:p>
      <w:pPr>
        <w:pStyle w:val="Heading3"/>
      </w:pPr>
      <w:r>
        <w:t xml:space="preserve">General Conditions of this Quotation Estimate</w:t>
      </w:r>
    </w:p>
    <w:p>
      <w:pPr>
        <w:numPr>
          <w:ilvl w:val="0"/>
          <w:numId w:val="1001"/>
        </w:numPr>
        <w:pStyle w:val="Compact"/>
      </w:pPr>
      <w:r>
        <w:t xml:space="preserve">This Quotation Estimate is valid for thirty (30) calendar days from the date of issue. After this period, the Architect firm reserves the right to revise pricing due to market conditions in Brazil Brasília.</w:t>
      </w:r>
    </w:p>
    <w:p>
      <w:pPr>
        <w:numPr>
          <w:ilvl w:val="0"/>
          <w:numId w:val="1001"/>
        </w:numPr>
        <w:pStyle w:val="Compact"/>
      </w:pPr>
      <w:r>
        <w:t xml:space="preserve">All Architect services described herein are subject to the professional code of ethics of the CAU/DF and the Brazilian Civil Code (Código Civil Brasileiro, Lei 10.406/2002).</w:t>
      </w:r>
    </w:p>
    <w:p>
      <w:pPr>
        <w:numPr>
          <w:ilvl w:val="0"/>
          <w:numId w:val="1001"/>
        </w:numPr>
        <w:pStyle w:val="Compact"/>
      </w:pPr>
      <w:r>
        <w:t xml:space="preserve">The client acknowledges that the Architect is responsible for design and supervision only. Structural engineering, geotechnical studies, and specialized consulting (electrical, hydraulic, HVAC) are to be contracted separately unless otherwise agreed in writing.</w:t>
      </w:r>
    </w:p>
    <w:p>
      <w:pPr>
        <w:numPr>
          <w:ilvl w:val="0"/>
          <w:numId w:val="1001"/>
        </w:numPr>
        <w:pStyle w:val="Compact"/>
      </w:pPr>
      <w:r>
        <w:t xml:space="preserve">Any changes to the project scope requested by the client after the approval of a given phase will be subject to a supplementary Quotation Estimate issued by the Architect firm, detailing additional costs and timeline adjustments.</w:t>
      </w:r>
    </w:p>
    <w:p>
      <w:pPr>
        <w:numPr>
          <w:ilvl w:val="0"/>
          <w:numId w:val="1001"/>
        </w:numPr>
        <w:pStyle w:val="Compact"/>
      </w:pPr>
      <w:r>
        <w:t xml:space="preserve">Payment is due within fifteen (15) business days of each invoice. Late payments shall accrue interest at the rate of 1% per month plus monetary correction per the IGP-M index published by FGV.</w:t>
      </w:r>
    </w:p>
    <w:p>
      <w:pPr>
        <w:numPr>
          <w:ilvl w:val="0"/>
          <w:numId w:val="1001"/>
        </w:numPr>
        <w:pStyle w:val="Compact"/>
      </w:pPr>
      <w:r>
        <w:t xml:space="preserve">The Architect firm shall maintain professional liability insurance (Seguro de Responsabilidade Civil Profissional) with a minimum coverage of R$ 500.000,00 throughout the duration of the project in Brazil Brasília.</w:t>
      </w:r>
    </w:p>
    <w:p>
      <w:pPr>
        <w:numPr>
          <w:ilvl w:val="0"/>
          <w:numId w:val="1001"/>
        </w:numPr>
        <w:pStyle w:val="Compact"/>
      </w:pPr>
      <w:r>
        <w:t xml:space="preserve">All intellectual property rights over the architectural drawings, 3D models, and design documents remain with the Architect firm until full payment of the Quotation Estimate is completed. Upon full settlement, the client receives a non-exclusive license to use the documents for the specific project in Brasília.</w:t>
      </w:r>
    </w:p>
    <w:p>
      <w:pPr>
        <w:numPr>
          <w:ilvl w:val="0"/>
          <w:numId w:val="1001"/>
        </w:numPr>
        <w:pStyle w:val="Compact"/>
      </w:pPr>
      <w:r>
        <w:t xml:space="preserve">This Quotation Estimate does not constitute a binding contract. A formal Architect Service Agreement (Contrato de Prestação de Serviços de Arquitetura) must be executed by both parties before any work commences.</w:t>
      </w:r>
    </w:p>
    <w:p>
      <w:pPr>
        <w:numPr>
          <w:ilvl w:val="0"/>
          <w:numId w:val="1001"/>
        </w:numPr>
        <w:pStyle w:val="Compact"/>
      </w:pPr>
      <w:r>
        <w:t xml:space="preserve">Disputes arising from this Quotation Estimate or the subsequent contract shall be resolved by arbitration in Brasília – DF, in accordance with the rules of the Câmara de Arbitragem do Distrito Federal.</w:t>
      </w:r>
    </w:p>
    <w:p>
      <w:pPr>
        <w:numPr>
          <w:ilvl w:val="0"/>
          <w:numId w:val="1001"/>
        </w:numPr>
        <w:pStyle w:val="Compact"/>
      </w:pPr>
      <w:r>
        <w:t xml:space="preserve">The Architect firm is not responsible for delays caused by municipal authorities in Brasília, force majeure events, or client-caused postponements exceeding ten (10) business days.</w:t>
      </w:r>
    </w:p>
    <w:bookmarkEnd w:id="28"/>
    <w:bookmarkEnd w:id="29"/>
    <w:bookmarkStart w:id="30" w:name="acceptance-and-signatures"/>
    <w:p>
      <w:pPr>
        <w:pStyle w:val="Heading2"/>
      </w:pPr>
      <w:r>
        <w:t xml:space="preserve">5. Acceptance and Signatures</w:t>
      </w:r>
    </w:p>
    <w:p>
      <w:pPr>
        <w:pStyle w:val="FirstParagraph"/>
      </w:pPr>
      <w:r>
        <w:t xml:space="preserve">By signing below, both parties acknowledge that this Quotation Estimate accurately reflects the scope, cost, and terms of the Architect services to be rendered in Brazil Brasília. This document serves as the basis for the subsequent formal service agreement.</w:t>
      </w:r>
    </w:p>
    <w:p>
      <w:pPr>
        <w:pStyle w:val="BodyText"/>
      </w:pPr>
      <w:r>
        <w:rPr>
          <w:bCs/>
          <w:b/>
        </w:rPr>
        <w:t xml:space="preserve">Studio Arquitetura Brasília Ltda.</w:t>
      </w:r>
      <w:r>
        <w:br/>
      </w:r>
      <w:r>
        <w:t xml:space="preserve">Eng.ª Marina Costa – CAU/DF A98765-4</w:t>
      </w:r>
      <w:r>
        <w:br/>
      </w:r>
      <w:r>
        <w:t xml:space="preserve">Architect in Charge / Legal Representative</w:t>
      </w:r>
    </w:p>
    <w:p>
      <w:pPr>
        <w:pStyle w:val="BodyText"/>
      </w:pPr>
      <w:r>
        <w:rPr>
          <w:bCs/>
          <w:b/>
        </w:rPr>
        <w:t xml:space="preserve">Mr. Ricardo Almeida Santos</w:t>
      </w:r>
      <w:r>
        <w:br/>
      </w:r>
      <w:r>
        <w:t xml:space="preserve">CPF: 123.456.789-00</w:t>
      </w:r>
      <w:r>
        <w:br/>
      </w:r>
      <w:r>
        <w:t xml:space="preserve">Client</w:t>
      </w:r>
    </w:p>
    <w:p>
      <w:pPr>
        <w:pStyle w:val="BodyText"/>
      </w:pPr>
      <w:r>
        <w:t xml:space="preserve">Quotation Estimate QE-2025-0847 | Studio Arquitetura Brasília Ltda. | Setor Comercial Sul, Q.03, Bl. A, Sala 1200 – Brasília, DF, 70304-910, Brazil</w:t>
      </w:r>
    </w:p>
    <w:p>
      <w:pPr>
        <w:pStyle w:val="BodyText"/>
      </w:pPr>
      <w:r>
        <w:t xml:space="preserve">This document was prepared in accordance with CAU/DF professional standards and the regulations governing Architect practice in the Federal District of Brazil Brasília.</w:t>
      </w:r>
    </w:p>
    <w:p>
      <w:pPr>
        <w:pStyle w:val="BodyText"/>
      </w:pPr>
      <w:r>
        <w:t xml:space="preserve">© 2025 Studio Arquitetura Brasília Ltda.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Brazil Brasília</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