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quotation-estimate"/>
    <w:p>
      <w:pPr>
        <w:pStyle w:val="Heading1"/>
      </w:pPr>
      <w:r>
        <w:t xml:space="preserve">QUOTATION ESTIMATE</w:t>
      </w:r>
    </w:p>
    <w:p>
      <w:pPr>
        <w:pStyle w:val="FirstParagraph"/>
      </w:pPr>
      <w:r>
        <w:t xml:space="preserve">Professional Architect Services — Rio de Janeiro, Brazil</w:t>
      </w:r>
    </w:p>
    <w:p>
      <w:pPr>
        <w:pStyle w:val="BodyText"/>
      </w:pPr>
      <w:r>
        <w:t xml:space="preserve">Document Reference: QE-ARQ-RJ-2025-0472</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Date of Issue</w:t>
            </w:r>
          </w:p>
        </w:tc>
        <w:tc>
          <w:tcPr/>
          <w:p>
            <w:pPr>
              <w:pStyle w:val="Compact"/>
              <w:jc w:val="left"/>
            </w:pPr>
            <w:r>
              <w:t xml:space="preserve">15 June 2025</w:t>
            </w:r>
          </w:p>
        </w:tc>
        <w:tc>
          <w:tcPr/>
          <w:p>
            <w:pPr>
              <w:pStyle w:val="Compact"/>
              <w:jc w:val="left"/>
            </w:pPr>
            <w:r>
              <w:t xml:space="preserve">Validity Period</w:t>
            </w:r>
          </w:p>
        </w:tc>
        <w:tc>
          <w:tcPr/>
          <w:p>
            <w:pPr>
              <w:pStyle w:val="Compact"/>
              <w:jc w:val="left"/>
            </w:pPr>
            <w:r>
              <w:t xml:space="preserve">30 calendar days from date of issue</w:t>
            </w:r>
          </w:p>
        </w:tc>
      </w:tr>
      <w:tr>
        <w:tc>
          <w:tcPr/>
          <w:p>
            <w:pPr>
              <w:pStyle w:val="Compact"/>
              <w:jc w:val="left"/>
            </w:pPr>
            <w:r>
              <w:t xml:space="preserve">Architect Firm</w:t>
            </w:r>
          </w:p>
        </w:tc>
        <w:tc>
          <w:tcPr/>
          <w:p>
            <w:pPr>
              <w:pStyle w:val="Compact"/>
              <w:jc w:val="left"/>
            </w:pPr>
            <w:r>
              <w:t xml:space="preserve">Estúdio Arquitetura Carioca Ltda.</w:t>
            </w:r>
          </w:p>
        </w:tc>
        <w:tc>
          <w:tcPr/>
          <w:p>
            <w:pPr>
              <w:pStyle w:val="Compact"/>
              <w:jc w:val="left"/>
            </w:pPr>
            <w:r>
              <w:t xml:space="preserve">CRA Registration</w:t>
            </w:r>
          </w:p>
        </w:tc>
        <w:tc>
          <w:tcPr/>
          <w:p>
            <w:pPr>
              <w:pStyle w:val="Compact"/>
              <w:jc w:val="left"/>
            </w:pPr>
            <w:r>
              <w:t xml:space="preserve">CRA-RJ 12.345/A</w:t>
            </w:r>
          </w:p>
        </w:tc>
      </w:tr>
      <w:tr>
        <w:tc>
          <w:tcPr/>
          <w:p>
            <w:pPr>
              <w:pStyle w:val="Compact"/>
              <w:jc w:val="left"/>
            </w:pPr>
            <w:r>
              <w:t xml:space="preserve">Firm Address</w:t>
            </w:r>
          </w:p>
        </w:tc>
        <w:tc>
          <w:tcPr/>
          <w:p>
            <w:pPr>
              <w:pStyle w:val="Compact"/>
              <w:jc w:val="left"/>
            </w:pPr>
            <w:r>
              <w:t xml:space="preserve">Rua Visconde de Pirajá, 450, Sala 12 — Ipanema, Rio de Janeiro, RJ — CEP 22410-003, Brazil</w:t>
            </w:r>
          </w:p>
        </w:tc>
        <w:tc>
          <w:tcPr/>
          <w:p>
            <w:pPr>
              <w:pStyle w:val="Compact"/>
              <w:jc w:val="left"/>
            </w:pPr>
            <w:r>
              <w:t xml:space="preserve">Contact</w:t>
            </w:r>
          </w:p>
        </w:tc>
        <w:tc>
          <w:tcPr/>
          <w:p>
            <w:pPr>
              <w:pStyle w:val="Compact"/>
              <w:jc w:val="left"/>
            </w:pPr>
            <w:r>
              <w:t xml:space="preserve">+55 (21) 3456-7890 | contato@arquitetura-carioca.com.br</w:t>
            </w:r>
          </w:p>
        </w:tc>
      </w:tr>
      <w:tr>
        <w:tc>
          <w:tcPr/>
          <w:p>
            <w:pPr>
              <w:pStyle w:val="Compact"/>
              <w:jc w:val="left"/>
            </w:pPr>
            <w:r>
              <w:t xml:space="preserve">Client Name</w:t>
            </w:r>
          </w:p>
        </w:tc>
        <w:tc>
          <w:tcPr/>
          <w:p>
            <w:pPr>
              <w:pStyle w:val="Compact"/>
              <w:jc w:val="left"/>
            </w:pPr>
            <w:r>
              <w:t xml:space="preserve">Construtora Horizonte do Sul S.A.</w:t>
            </w:r>
          </w:p>
        </w:tc>
        <w:tc>
          <w:tcPr/>
          <w:p>
            <w:pPr>
              <w:pStyle w:val="Compact"/>
              <w:jc w:val="left"/>
            </w:pPr>
            <w:r>
              <w:t xml:space="preserve">Client CNPJ</w:t>
            </w:r>
          </w:p>
        </w:tc>
        <w:tc>
          <w:tcPr/>
          <w:p>
            <w:pPr>
              <w:pStyle w:val="Compact"/>
              <w:jc w:val="left"/>
            </w:pPr>
            <w:r>
              <w:t xml:space="preserve">12.345.678/0001-90</w:t>
            </w:r>
          </w:p>
        </w:tc>
      </w:tr>
      <w:tr>
        <w:tc>
          <w:tcPr/>
          <w:p>
            <w:pPr>
              <w:pStyle w:val="Compact"/>
              <w:jc w:val="left"/>
            </w:pPr>
            <w:r>
              <w:t xml:space="preserve">Project Location</w:t>
            </w:r>
          </w:p>
        </w:tc>
        <w:tc>
          <w:tcPr/>
          <w:p>
            <w:pPr>
              <w:pStyle w:val="Compact"/>
              <w:jc w:val="left"/>
            </w:pPr>
            <w:r>
              <w:t xml:space="preserve">Av. das Américas, 5.000 — Barra da Tijuca, Rio de Janeiro, RJ, Brazil</w:t>
            </w:r>
          </w:p>
        </w:tc>
        <w:tc>
          <w:tcPr/>
          <w:p>
            <w:pPr>
              <w:pStyle w:val="Compact"/>
              <w:jc w:val="left"/>
            </w:pPr>
            <w:r>
              <w:t xml:space="preserve">Project Type</w:t>
            </w:r>
          </w:p>
        </w:tc>
        <w:tc>
          <w:tcPr/>
          <w:p>
            <w:pPr>
              <w:pStyle w:val="Compact"/>
              <w:jc w:val="left"/>
            </w:pPr>
            <w:r>
              <w:t xml:space="preserve">Residential Complex (12 units)</w:t>
            </w:r>
          </w:p>
        </w:tc>
      </w:tr>
    </w:tbl>
    <w:bookmarkStart w:id="21" w:name="purpose-of-this-quotation-estimate"/>
    <w:p>
      <w:pPr>
        <w:pStyle w:val="Heading2"/>
      </w:pPr>
      <w:r>
        <w:t xml:space="preserve">1. Purpose of This Quotation Estimate</w:t>
      </w:r>
    </w:p>
    <w:p>
      <w:pPr>
        <w:pStyle w:val="FirstParagraph"/>
      </w:pPr>
      <w:r>
        <w:t xml:space="preserve">This Quotation Estimate is issued by Estúdio Arquitetura Carioca Ltda., a registered Architect practice operating under the jurisdiction of the Conselho de Arquitetura e Urbanismo do Rio de Janeiro (CAU-RJ), to formally present the professional fees, scope of deliverables, and associated costs for the architectural design and development services required by the Client. This document constitutes a binding proposal for the Architect services described herein, subject to the terms and conditions outlined in Section 6. All monetary values are expressed in Brazilian Reais (BRL — R$) and are inclusive of applicable taxes as per the tax regulations of the State of Rio de Janeiro, Brazil.</w:t>
      </w:r>
    </w:p>
    <w:bookmarkEnd w:id="21"/>
    <w:bookmarkStart w:id="22" w:name="scope-of-architect-services"/>
    <w:p>
      <w:pPr>
        <w:pStyle w:val="Heading2"/>
      </w:pPr>
      <w:r>
        <w:t xml:space="preserve">2. Scope of Architect Services</w:t>
      </w:r>
    </w:p>
    <w:p>
      <w:pPr>
        <w:pStyle w:val="FirstParagraph"/>
      </w:pPr>
      <w:r>
        <w:t xml:space="preserve">The Architect services covered by this Quotation Estimate encompass the full-cycle architectural design and technical development for a residential complex comprising twelve (12) independent units, a shared parking structure, and common recreational areas, located in the Barra da Tijuca district of Rio de Janeiro, Brazil. The specific deliverables include, but are not limited to:</w:t>
      </w:r>
    </w:p>
    <w:p>
      <w:pPr>
        <w:numPr>
          <w:ilvl w:val="0"/>
          <w:numId w:val="1001"/>
        </w:numPr>
        <w:pStyle w:val="Compact"/>
      </w:pPr>
      <w:r>
        <w:rPr>
          <w:bCs/>
          <w:b/>
        </w:rPr>
        <w:t xml:space="preserve">Conceptual Design Phase:</w:t>
      </w:r>
      <w:r>
        <w:t xml:space="preserve"> </w:t>
      </w:r>
      <w:r>
        <w:t xml:space="preserve">Development of initial architectural concepts, massing studies, and site analysis tailored to the topography and urban planning regulations of the City of Rio de Janeiro (Prefeitura da Cidade do Rio de Janeiro). This includes compliance with the Plano Diretor Participativo and local zoning ordinances.</w:t>
      </w:r>
    </w:p>
    <w:p>
      <w:pPr>
        <w:numPr>
          <w:ilvl w:val="0"/>
          <w:numId w:val="1001"/>
        </w:numPr>
        <w:pStyle w:val="Compact"/>
      </w:pPr>
      <w:r>
        <w:rPr>
          <w:bCs/>
          <w:b/>
        </w:rPr>
        <w:t xml:space="preserve">Preliminary Design Phase:</w:t>
      </w:r>
      <w:r>
        <w:t xml:space="preserve"> </w:t>
      </w:r>
      <w:r>
        <w:t xml:space="preserve">Production of schematic architectural drawings, floor plans, elevations, and cross-sections at a scale of 1:100. Coordination with structural, electrical, and hydraulic engineering consultants registered in Rio de Janeiro.</w:t>
      </w:r>
    </w:p>
    <w:p>
      <w:pPr>
        <w:numPr>
          <w:ilvl w:val="0"/>
          <w:numId w:val="1001"/>
        </w:numPr>
        <w:pStyle w:val="Compact"/>
      </w:pPr>
      <w:r>
        <w:rPr>
          <w:bCs/>
          <w:b/>
        </w:rPr>
        <w:t xml:space="preserve">Design Development Phase:</w:t>
      </w:r>
      <w:r>
        <w:t xml:space="preserve"> </w:t>
      </w:r>
      <w:r>
        <w:t xml:space="preserve">Detailed architectural drawings at 1:50 and 1:20 scales, material specifications, and interior layout planning. Preparation of 3D visualizations and photorealistic renderings for client approval.</w:t>
      </w:r>
    </w:p>
    <w:p>
      <w:pPr>
        <w:numPr>
          <w:ilvl w:val="0"/>
          <w:numId w:val="1001"/>
        </w:numPr>
        <w:pStyle w:val="Compact"/>
      </w:pPr>
      <w:r>
        <w:rPr>
          <w:bCs/>
          <w:b/>
        </w:rPr>
        <w:t xml:space="preserve">Construction Documentation:</w:t>
      </w:r>
      <w:r>
        <w:t xml:space="preserve"> </w:t>
      </w:r>
      <w:r>
        <w:t xml:space="preserve">Full set of construction-ready architectural drawings, technical notes, and specifications compliant with the NBR standards (Associação Brasileira de Normas Técnicas) and the building code of Rio de Janeiro (Código de Obras do Município).</w:t>
      </w:r>
    </w:p>
    <w:p>
      <w:pPr>
        <w:numPr>
          <w:ilvl w:val="0"/>
          <w:numId w:val="1001"/>
        </w:numPr>
        <w:pStyle w:val="Compact"/>
      </w:pPr>
      <w:r>
        <w:rPr>
          <w:bCs/>
          <w:b/>
        </w:rPr>
        <w:t xml:space="preserve">Regulatory Submissions:</w:t>
      </w:r>
      <w:r>
        <w:t xml:space="preserve"> </w:t>
      </w:r>
      <w:r>
        <w:t xml:space="preserve">Preparation and submission of all necessary documentation to the Secretaria de Urbanismo e Meio Ambiente (SEURB) of Rio de Janeiro for the issuance of the Alvará de Construção (Building Permit). This includes ART (Anotação de Responsabilidade Técnica) registration with CAU-RJ.</w:t>
      </w:r>
    </w:p>
    <w:p>
      <w:pPr>
        <w:numPr>
          <w:ilvl w:val="0"/>
          <w:numId w:val="1001"/>
        </w:numPr>
        <w:pStyle w:val="Compact"/>
      </w:pPr>
      <w:r>
        <w:rPr>
          <w:bCs/>
          <w:b/>
        </w:rPr>
        <w:t xml:space="preserve">Construction Phase Support:</w:t>
      </w:r>
      <w:r>
        <w:t xml:space="preserve"> </w:t>
      </w:r>
      <w:r>
        <w:t xml:space="preserve">On-site architectural supervision, response to contractor queries, and issuance of as-built drawings. Minimum of four (4) site visits per month during the active construction period.</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Architect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Cost (BRL — R$)</w:t>
            </w:r>
          </w:p>
        </w:tc>
      </w:tr>
      <w:tr>
        <w:tc>
          <w:tcPr/>
          <w:p>
            <w:pPr>
              <w:pStyle w:val="Compact"/>
              <w:jc w:val="left"/>
            </w:pPr>
            <w:r>
              <w:t xml:space="preserve">01</w:t>
            </w:r>
          </w:p>
        </w:tc>
        <w:tc>
          <w:tcPr/>
          <w:p>
            <w:pPr>
              <w:pStyle w:val="Compact"/>
              <w:jc w:val="left"/>
            </w:pPr>
            <w:r>
              <w:t xml:space="preserve">Conceptual Design &amp; Site Analysis (Rio de Janeiro urban context)</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R$ 48,500.00</w:t>
            </w:r>
          </w:p>
        </w:tc>
      </w:tr>
      <w:tr>
        <w:tc>
          <w:tcPr/>
          <w:p>
            <w:pPr>
              <w:pStyle w:val="Compact"/>
              <w:jc w:val="left"/>
            </w:pPr>
            <w:r>
              <w:t xml:space="preserve">02</w:t>
            </w:r>
          </w:p>
        </w:tc>
        <w:tc>
          <w:tcPr/>
          <w:p>
            <w:pPr>
              <w:pStyle w:val="Compact"/>
              <w:jc w:val="left"/>
            </w:pPr>
            <w:r>
              <w:t xml:space="preserve">Preliminary Design &amp; Schematic Drawings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R$ 72,300.00</w:t>
            </w:r>
          </w:p>
        </w:tc>
      </w:tr>
      <w:tr>
        <w:tc>
          <w:tcPr/>
          <w:p>
            <w:pPr>
              <w:pStyle w:val="Compact"/>
              <w:jc w:val="left"/>
            </w:pPr>
            <w:r>
              <w:t xml:space="preserve">03</w:t>
            </w:r>
          </w:p>
        </w:tc>
        <w:tc>
          <w:tcPr/>
          <w:p>
            <w:pPr>
              <w:pStyle w:val="Compact"/>
              <w:jc w:val="left"/>
            </w:pPr>
            <w:r>
              <w:t xml:space="preserve">Design Development &amp; 3D Visualization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R$ 95,000.00</w:t>
            </w:r>
          </w:p>
        </w:tc>
      </w:tr>
      <w:tr>
        <w:tc>
          <w:tcPr/>
          <w:p>
            <w:pPr>
              <w:pStyle w:val="Compact"/>
              <w:jc w:val="left"/>
            </w:pPr>
            <w:r>
              <w:t xml:space="preserve">04</w:t>
            </w:r>
          </w:p>
        </w:tc>
        <w:tc>
          <w:tcPr/>
          <w:p>
            <w:pPr>
              <w:pStyle w:val="Compact"/>
              <w:jc w:val="left"/>
            </w:pPr>
            <w:r>
              <w:t xml:space="preserve">Construction Documentation &amp; Technical Specifications</w:t>
            </w:r>
          </w:p>
        </w:tc>
        <w:tc>
          <w:tcPr/>
          <w:p>
            <w:pPr>
              <w:pStyle w:val="Compact"/>
              <w:jc w:val="left"/>
            </w:pPr>
            <w:r>
              <w:t xml:space="preserve">Per m² of built area</w:t>
            </w:r>
          </w:p>
        </w:tc>
        <w:tc>
          <w:tcPr/>
          <w:p>
            <w:pPr>
              <w:pStyle w:val="Compact"/>
              <w:jc w:val="left"/>
            </w:pPr>
            <w:r>
              <w:t xml:space="preserve">2,400 m²</w:t>
            </w:r>
          </w:p>
        </w:tc>
        <w:tc>
          <w:tcPr/>
          <w:p>
            <w:pPr>
              <w:pStyle w:val="Compact"/>
              <w:jc w:val="left"/>
            </w:pPr>
            <w:r>
              <w:t xml:space="preserve">R$ 168,000.00</w:t>
            </w:r>
          </w:p>
        </w:tc>
      </w:tr>
      <w:tr>
        <w:tc>
          <w:tcPr/>
          <w:p>
            <w:pPr>
              <w:pStyle w:val="Compact"/>
              <w:jc w:val="left"/>
            </w:pPr>
            <w:r>
              <w:t xml:space="preserve">05</w:t>
            </w:r>
          </w:p>
        </w:tc>
        <w:tc>
          <w:tcPr/>
          <w:p>
            <w:pPr>
              <w:pStyle w:val="Compact"/>
              <w:jc w:val="left"/>
            </w:pPr>
            <w:r>
              <w:t xml:space="preserve">Regulatory Submissions &amp; Permit Coordination (SEURB, Rio de Janeiro)</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R$ 32,800.00</w:t>
            </w:r>
          </w:p>
        </w:tc>
      </w:tr>
      <w:tr>
        <w:tc>
          <w:tcPr/>
          <w:p>
            <w:pPr>
              <w:pStyle w:val="Compact"/>
              <w:jc w:val="left"/>
            </w:pPr>
            <w:r>
              <w:t xml:space="preserve">06</w:t>
            </w:r>
          </w:p>
        </w:tc>
        <w:tc>
          <w:tcPr/>
          <w:p>
            <w:pPr>
              <w:pStyle w:val="Compact"/>
              <w:jc w:val="left"/>
            </w:pPr>
            <w:r>
              <w:t xml:space="preserve">Construction Phase Architectural Supervision (18 months)</w:t>
            </w:r>
          </w:p>
        </w:tc>
        <w:tc>
          <w:tcPr/>
          <w:p>
            <w:pPr>
              <w:pStyle w:val="Compact"/>
              <w:jc w:val="left"/>
            </w:pPr>
            <w:r>
              <w:t xml:space="preserve">Monthly</w:t>
            </w:r>
          </w:p>
        </w:tc>
        <w:tc>
          <w:tcPr/>
          <w:p>
            <w:pPr>
              <w:pStyle w:val="Compact"/>
              <w:jc w:val="left"/>
            </w:pPr>
            <w:r>
              <w:t xml:space="preserve">18</w:t>
            </w:r>
          </w:p>
        </w:tc>
        <w:tc>
          <w:tcPr/>
          <w:p>
            <w:pPr>
              <w:pStyle w:val="Compact"/>
              <w:jc w:val="left"/>
            </w:pPr>
            <w:r>
              <w:t xml:space="preserve">R$ 216,000.00</w:t>
            </w:r>
          </w:p>
        </w:tc>
      </w:tr>
      <w:tr>
        <w:tc>
          <w:tcPr/>
          <w:p>
            <w:pPr>
              <w:pStyle w:val="Compact"/>
              <w:jc w:val="left"/>
            </w:pPr>
            <w:r>
              <w:t xml:space="preserve">07</w:t>
            </w:r>
          </w:p>
        </w:tc>
        <w:tc>
          <w:tcPr/>
          <w:p>
            <w:pPr>
              <w:pStyle w:val="Compact"/>
              <w:jc w:val="left"/>
            </w:pPr>
            <w:r>
              <w:t xml:space="preserve">As-Built Documentation &amp; Final Handover</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R$ 28,400.00</w:t>
            </w:r>
          </w:p>
        </w:tc>
      </w:tr>
      <w:tr>
        <w:tc>
          <w:tcPr/>
          <w:p>
            <w:pPr>
              <w:pStyle w:val="Compact"/>
              <w:jc w:val="left"/>
            </w:pPr>
            <w:r>
              <w:t xml:space="preserve">08</w:t>
            </w:r>
          </w:p>
        </w:tc>
        <w:tc>
          <w:tcPr/>
          <w:p>
            <w:pPr>
              <w:pStyle w:val="Compact"/>
              <w:jc w:val="left"/>
            </w:pPr>
            <w:r>
              <w:t xml:space="preserve">CAU-RJ Registration Fees &amp; ART Stamps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R$ 6,750.00</w:t>
            </w:r>
          </w:p>
        </w:tc>
      </w:tr>
      <w:tr>
        <w:tc>
          <w:tcPr>
            <w:gridSpan w:val="4"/>
          </w:tcPr>
          <w:p>
            <w:pPr>
              <w:pStyle w:val="Compact"/>
              <w:jc w:val="right"/>
            </w:pPr>
            <w:r>
              <w:t xml:space="preserve">Subtotal (Professional Fees)</w:t>
            </w:r>
          </w:p>
        </w:tc>
        <w:tc>
          <w:tcPr/>
          <w:p>
            <w:pPr>
              <w:pStyle w:val="Compact"/>
              <w:jc w:val="left"/>
            </w:pPr>
            <w:r>
              <w:t xml:space="preserve">R$ 667,750.00</w:t>
            </w:r>
          </w:p>
        </w:tc>
      </w:tr>
      <w:tr>
        <w:tc>
          <w:tcPr>
            <w:gridSpan w:val="4"/>
          </w:tcPr>
          <w:p>
            <w:pPr>
              <w:pStyle w:val="Compact"/>
              <w:jc w:val="right"/>
            </w:pPr>
            <w:r>
              <w:t xml:space="preserve">ICMS / ISS (Applicable Tax — Rio de Janeiro)</w:t>
            </w:r>
          </w:p>
        </w:tc>
        <w:tc>
          <w:tcPr/>
          <w:p>
            <w:pPr>
              <w:pStyle w:val="Compact"/>
              <w:jc w:val="left"/>
            </w:pPr>
            <w:r>
              <w:t xml:space="preserve">R$ 66,775.00</w:t>
            </w:r>
          </w:p>
        </w:tc>
      </w:tr>
      <w:tr>
        <w:tc>
          <w:tcPr>
            <w:gridSpan w:val="4"/>
          </w:tcPr>
          <w:p>
            <w:pPr>
              <w:pStyle w:val="Compact"/>
              <w:jc w:val="right"/>
            </w:pPr>
            <w:r>
              <w:t xml:space="preserve">TOTAL ESTIMATED COST</w:t>
            </w:r>
          </w:p>
        </w:tc>
        <w:tc>
          <w:tcPr/>
          <w:p>
            <w:pPr>
              <w:pStyle w:val="Compact"/>
              <w:jc w:val="left"/>
            </w:pPr>
            <w:r>
              <w:t xml:space="preserve">R$ 734,525.00</w:t>
            </w:r>
          </w:p>
        </w:tc>
      </w:tr>
    </w:tbl>
    <w:bookmarkEnd w:id="23"/>
    <w:bookmarkStart w:id="24" w:name="payment-schedule"/>
    <w:p>
      <w:pPr>
        <w:pStyle w:val="Heading2"/>
      </w:pPr>
      <w:r>
        <w:t xml:space="preserve">4. Payment Schedule</w:t>
      </w:r>
    </w:p>
    <w:p>
      <w:pPr>
        <w:pStyle w:val="FirstParagraph"/>
      </w:pPr>
      <w:r>
        <w:t xml:space="preserve">This Quotation Estimate establishes the following payment milestones, payable within fifteen (15) business days of invoice issuance by the Architect firm:</w:t>
      </w:r>
    </w:p>
    <w:p>
      <w:pPr>
        <w:numPr>
          <w:ilvl w:val="0"/>
          <w:numId w:val="1002"/>
        </w:numPr>
        <w:pStyle w:val="Compact"/>
      </w:pPr>
      <w:r>
        <w:rPr>
          <w:bCs/>
          <w:b/>
        </w:rPr>
        <w:t xml:space="preserve">20%</w:t>
      </w:r>
      <w:r>
        <w:t xml:space="preserve"> </w:t>
      </w:r>
      <w:r>
        <w:t xml:space="preserve">upon signing of the Architect Service Agreement (R$ 146,905.00)</w:t>
      </w:r>
    </w:p>
    <w:p>
      <w:pPr>
        <w:numPr>
          <w:ilvl w:val="0"/>
          <w:numId w:val="1002"/>
        </w:numPr>
        <w:pStyle w:val="Compact"/>
      </w:pPr>
      <w:r>
        <w:rPr>
          <w:bCs/>
          <w:b/>
        </w:rPr>
        <w:t xml:space="preserve">25%</w:t>
      </w:r>
      <w:r>
        <w:t xml:space="preserve"> </w:t>
      </w:r>
      <w:r>
        <w:t xml:space="preserve">upon approval of Preliminary Design (R$ 183,631.25)</w:t>
      </w:r>
    </w:p>
    <w:p>
      <w:pPr>
        <w:numPr>
          <w:ilvl w:val="0"/>
          <w:numId w:val="1002"/>
        </w:numPr>
        <w:pStyle w:val="Compact"/>
      </w:pPr>
      <w:r>
        <w:rPr>
          <w:bCs/>
          <w:b/>
        </w:rPr>
        <w:t xml:space="preserve">25%</w:t>
      </w:r>
      <w:r>
        <w:t xml:space="preserve"> </w:t>
      </w:r>
      <w:r>
        <w:t xml:space="preserve">upon delivery of Construction Documentation (R$ 183,631.25)</w:t>
      </w:r>
    </w:p>
    <w:p>
      <w:pPr>
        <w:numPr>
          <w:ilvl w:val="0"/>
          <w:numId w:val="1002"/>
        </w:numPr>
        <w:pStyle w:val="Compact"/>
      </w:pPr>
      <w:r>
        <w:rPr>
          <w:bCs/>
          <w:b/>
        </w:rPr>
        <w:t xml:space="preserve">20%</w:t>
      </w:r>
      <w:r>
        <w:t xml:space="preserve"> </w:t>
      </w:r>
      <w:r>
        <w:t xml:space="preserve">upon issuance of Building Permit by SEURB, Rio de Janeiro (R$ 146,905.00)</w:t>
      </w:r>
    </w:p>
    <w:p>
      <w:pPr>
        <w:numPr>
          <w:ilvl w:val="0"/>
          <w:numId w:val="1002"/>
        </w:numPr>
        <w:pStyle w:val="Compact"/>
      </w:pPr>
      <w:r>
        <w:rPr>
          <w:bCs/>
          <w:b/>
        </w:rPr>
        <w:t xml:space="preserve">10%</w:t>
      </w:r>
      <w:r>
        <w:t xml:space="preserve"> </w:t>
      </w:r>
      <w:r>
        <w:t xml:space="preserve">upon project completion and as-built handover (R$ 73,452.50)</w:t>
      </w:r>
    </w:p>
    <w:bookmarkEnd w:id="24"/>
    <w:bookmarkStart w:id="25" w:name="assumptions-and-exclusions"/>
    <w:p>
      <w:pPr>
        <w:pStyle w:val="Heading2"/>
      </w:pPr>
      <w:r>
        <w:t xml:space="preserve">5. Assumptions and Exclusions</w:t>
      </w:r>
    </w:p>
    <w:p>
      <w:pPr>
        <w:pStyle w:val="FirstParagraph"/>
      </w:pPr>
      <w:r>
        <w:t xml:space="preserve">This Quotation Estimate assumes that the Client will provide timely access to the project site in Barra da Tijuca, Rio de Janeiro, and will supply all existing geotechnical, topographic, and environmental survey data. The following are explicitly excluded from this estimate: structural engineering fees, landscape architecture, interior design beyond basic layout, legal consulting for land title verification, and any costs arising from design changes requested by the Client after formal approval of each phase. Additional services will be subject to a supplementary Quotation Estimate issued by the Architect firm.</w:t>
      </w:r>
    </w:p>
    <w:bookmarkEnd w:id="25"/>
    <w:bookmarkStart w:id="26" w:name="terms-and-conditions"/>
    <w:p>
      <w:pPr>
        <w:pStyle w:val="Heading2"/>
      </w:pPr>
      <w:r>
        <w:t xml:space="preserve">6. Terms and Conditions</w:t>
      </w:r>
    </w:p>
    <w:p>
      <w:pPr>
        <w:pStyle w:val="FirstParagraph"/>
      </w:pPr>
      <w:r>
        <w:rPr>
          <w:bCs/>
          <w:b/>
        </w:rPr>
        <w:t xml:space="preserve">6.1</w:t>
      </w:r>
      <w:r>
        <w:t xml:space="preserve"> </w:t>
      </w:r>
      <w:r>
        <w:t xml:space="preserve">This Quotation Estimate is valid for thirty (30) calendar days from the date of issue. Beyond this period, the Architect firm reserves the right to revise fees due to market fluctuations in Rio de Janeiro, Brazil.</w:t>
      </w:r>
    </w:p>
    <w:p>
      <w:pPr>
        <w:pStyle w:val="BodyText"/>
      </w:pPr>
      <w:r>
        <w:rPr>
          <w:bCs/>
          <w:b/>
        </w:rPr>
        <w:t xml:space="preserve">6.2</w:t>
      </w:r>
      <w:r>
        <w:t xml:space="preserve"> </w:t>
      </w:r>
      <w:r>
        <w:t xml:space="preserve">All Architect services shall be performed in strict compliance with the Federal Law No. 12,378/2010 (Lei de Arquitetura e Urbanismo) and the regulations of CAU-RJ. The responsible Architect shall hold a valid registration with the Conselho de Arquitetura e Urbanismo.</w:t>
      </w:r>
    </w:p>
    <w:p>
      <w:pPr>
        <w:pStyle w:val="BodyText"/>
      </w:pPr>
      <w:r>
        <w:rPr>
          <w:bCs/>
          <w:b/>
        </w:rPr>
        <w:t xml:space="preserve">6.3</w:t>
      </w:r>
      <w:r>
        <w:t xml:space="preserve"> </w:t>
      </w:r>
      <w:r>
        <w:t xml:space="preserve">Intellectual property of all drawings, models, and documents produced under this Quotation Estimate shall remain with the Architect firm until full payment is received. Upon final settlement, the Client shall receive a non-exclusive license to use the deliverables for the specific project in Rio de Janeiro.</w:t>
      </w:r>
    </w:p>
    <w:p>
      <w:pPr>
        <w:pStyle w:val="BodyText"/>
      </w:pPr>
      <w:r>
        <w:rPr>
          <w:bCs/>
          <w:b/>
        </w:rPr>
        <w:t xml:space="preserve">6.4</w:t>
      </w:r>
      <w:r>
        <w:t xml:space="preserve"> </w:t>
      </w:r>
      <w:r>
        <w:t xml:space="preserve">Disputes arising from this Quotation Estimate or the subsequent Architect Service Agreement shall be resolved by arbitration in the city of Rio de Janeiro, Brazil, in accordance with the rules of the Câmara de Arbitragem do Mercado.</w:t>
      </w:r>
    </w:p>
    <w:p>
      <w:pPr>
        <w:pStyle w:val="BodyText"/>
      </w:pPr>
      <w:r>
        <w:rPr>
          <w:bCs/>
          <w:b/>
        </w:rPr>
        <w:t xml:space="preserve">6.5</w:t>
      </w:r>
      <w:r>
        <w:t xml:space="preserve"> </w:t>
      </w:r>
      <w:r>
        <w:t xml:space="preserve">The Architect firm shall maintain professional liability insurance with a minimum coverage of R$ 2,000,000.00 throughout the duration of the engagement.</w:t>
      </w:r>
    </w:p>
    <w:bookmarkEnd w:id="26"/>
    <w:bookmarkStart w:id="27" w:name="acceptance"/>
    <w:p>
      <w:pPr>
        <w:pStyle w:val="Heading2"/>
      </w:pPr>
      <w:r>
        <w:t xml:space="preserve">7. Acceptance</w:t>
      </w:r>
    </w:p>
    <w:p>
      <w:pPr>
        <w:pStyle w:val="FirstParagraph"/>
      </w:pPr>
      <w:r>
        <w:t xml:space="preserve">By signing below, the Client acknowledges receipt of this Quotation Estimate for Architect services in Rio de Janeiro, Brazil, and agrees to the terms, scope, and pricing outlined herein. This signature constitutes formal acceptance and authorizes the Architect firm to proceed with the Conceptual Design Phase.</w:t>
      </w:r>
    </w:p>
    <w:p>
      <w:pPr>
        <w:pStyle w:val="BodyText"/>
      </w:pPr>
      <w:r>
        <w:rPr>
          <w:bCs/>
          <w:b/>
        </w:rPr>
        <w:t xml:space="preserve">For the Architect Firm:</w:t>
      </w:r>
    </w:p>
    <w:p>
      <w:pPr>
        <w:pStyle w:val="BodyText"/>
      </w:pPr>
      <w:r>
        <w:t xml:space="preserve">Estúdio Arquitetura Carioca Ltda.</w:t>
      </w:r>
    </w:p>
    <w:p>
      <w:pPr>
        <w:pStyle w:val="BodyText"/>
      </w:pPr>
      <w:r>
        <w:rPr>
          <w:bCs/>
          <w:b/>
        </w:rPr>
        <w:t xml:space="preserve">Arq. Ricardo Mendes da Silva</w:t>
      </w:r>
      <w:r>
        <w:br/>
      </w:r>
      <w:r>
        <w:t xml:space="preserve">Responsible Architect — CAU-RJ 12.345/A</w:t>
      </w:r>
      <w:r>
        <w:br/>
      </w:r>
      <w:r>
        <w:t xml:space="preserve">Date: _______________</w:t>
      </w:r>
    </w:p>
    <w:p>
      <w:pPr>
        <w:pStyle w:val="BodyText"/>
      </w:pPr>
      <w:r>
        <w:rPr>
          <w:bCs/>
          <w:b/>
        </w:rPr>
        <w:t xml:space="preserve">For the Client:</w:t>
      </w:r>
    </w:p>
    <w:p>
      <w:pPr>
        <w:pStyle w:val="BodyText"/>
      </w:pPr>
      <w:r>
        <w:t xml:space="preserve">Construtora Horizonte do Sul S.A.</w:t>
      </w:r>
    </w:p>
    <w:p>
      <w:pPr>
        <w:pStyle w:val="BodyText"/>
      </w:pPr>
      <w:r>
        <w:rPr>
          <w:bCs/>
          <w:b/>
        </w:rPr>
        <w:t xml:space="preserve">Authorized Representative</w:t>
      </w:r>
      <w:r>
        <w:br/>
      </w:r>
      <w:r>
        <w:t xml:space="preserve">Name: _______________</w:t>
      </w:r>
      <w:r>
        <w:br/>
      </w:r>
      <w:r>
        <w:t xml:space="preserve">Date: _______________</w:t>
      </w:r>
    </w:p>
    <w:p>
      <w:pPr>
        <w:pStyle w:val="BodyText"/>
      </w:pPr>
      <w:r>
        <w:t xml:space="preserve">This Quotation Estimate (Document Ref. QE-ARQ-RJ-2025-0472) is issued by a licensed Architect practice in Rio de Janeiro, Brazil, and is governed by the laws of the Federative Republic of Brazil. All references to regulatory bodies, tax codes, and professional standards pertain to the jurisdiction of the State of Rio de Janeiro. This document does not constitute a contract until countersigned by both parties. For inquiries regarding this Quotation Estimate, please contact the Architect firm at the address and telephone number listed above.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Architect Services - Rio de Janeiro, Brazil</dc:title>
  <dc:creator/>
  <dc:language>en</dc:language>
  <cp:keywords/>
  <dcterms:created xsi:type="dcterms:W3CDTF">2026-10-10T01:06:19Z</dcterms:created>
  <dcterms:modified xsi:type="dcterms:W3CDTF">2026-10-10T01:06:19Z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