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Architect Services — Canada Toronto</w:t>
      </w:r>
    </w:p>
    <w:bookmarkEnd w:id="20"/>
    <w:bookmarkStart w:id="21" w:name="prepared-by"/>
    <w:p>
      <w:pPr>
        <w:pStyle w:val="Heading3"/>
      </w:pPr>
      <w:r>
        <w:t xml:space="preserve">Prepared By:</w:t>
      </w:r>
    </w:p>
    <w:p>
      <w:pPr>
        <w:pStyle w:val="FirstParagraph"/>
      </w:pPr>
      <w:r>
        <w:rPr>
          <w:bCs/>
          <w:b/>
        </w:rPr>
        <w:t xml:space="preserve">Meridian Architectural Design Group Inc.</w:t>
      </w:r>
      <w:r>
        <w:br/>
      </w:r>
      <w:r>
        <w:t xml:space="preserve">2840 Yonge Street, Suite 1400</w:t>
      </w:r>
      <w:r>
        <w:br/>
      </w:r>
      <w:r>
        <w:t xml:space="preserve">Toronto, Ontario M4P 2B7</w:t>
      </w:r>
      <w:r>
        <w:br/>
      </w:r>
      <w:r>
        <w:t xml:space="preserve">Canada</w:t>
      </w:r>
      <w:r>
        <w:br/>
      </w:r>
      <w:r>
        <w:t xml:space="preserve">Phone: (416) 555-0192</w:t>
      </w:r>
      <w:r>
        <w:br/>
      </w:r>
      <w:r>
        <w:t xml:space="preserve">Email: estimates@meridianarch.ca</w:t>
      </w:r>
      <w:r>
        <w:br/>
      </w:r>
      <w:r>
        <w:t xml:space="preserve">OAA License No. 2024-CA-78451</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Full Name]</w:t>
      </w:r>
      <w:r>
        <w:br/>
      </w:r>
      <w:r>
        <w:rPr>
          <w:bCs/>
          <w:b/>
        </w:rPr>
        <w:t xml:space="preserve">Address:</w:t>
      </w:r>
      <w:r>
        <w:t xml:space="preserve"> </w:t>
      </w:r>
      <w:r>
        <w:t xml:space="preserve">[Client Address], Toronto, ON</w:t>
      </w:r>
      <w:r>
        <w:br/>
      </w:r>
      <w:r>
        <w:rPr>
          <w:bCs/>
          <w:b/>
        </w:rPr>
        <w:t xml:space="preserve">Phone:</w:t>
      </w:r>
      <w:r>
        <w:t xml:space="preserve"> </w:t>
      </w:r>
      <w:r>
        <w:t xml:space="preserve">[Client Phone]</w:t>
      </w:r>
      <w:r>
        <w:br/>
      </w:r>
      <w:r>
        <w:rPr>
          <w:bCs/>
          <w:b/>
        </w:rPr>
        <w:t xml:space="preserve">Email:</w:t>
      </w:r>
      <w:r>
        <w:t xml:space="preserve"> </w:t>
      </w:r>
      <w:r>
        <w:t xml:space="preserve">[Client Email]</w:t>
      </w:r>
    </w:p>
    <w:p>
      <w:pPr>
        <w:pStyle w:val="BodyText"/>
      </w:pPr>
      <w:r>
        <w:rPr>
          <w:bCs/>
          <w:b/>
        </w:rPr>
        <w:t xml:space="preserve">Quotation No.:</w:t>
      </w:r>
      <w:r>
        <w:t xml:space="preserve"> </w:t>
      </w:r>
      <w:r>
        <w:t xml:space="preserve">QE-2025-0487</w:t>
      </w:r>
      <w:r>
        <w:br/>
      </w:r>
      <w:r>
        <w:rPr>
          <w:bCs/>
          <w:b/>
        </w:rPr>
        <w:t xml:space="preserve">Date Issued:</w:t>
      </w:r>
      <w:r>
        <w:t xml:space="preserve"> </w:t>
      </w:r>
      <w:r>
        <w:t xml:space="preserve">June 15, 2025</w:t>
      </w:r>
      <w:r>
        <w:br/>
      </w:r>
      <w:r>
        <w:rPr>
          <w:bCs/>
          <w:b/>
        </w:rPr>
        <w:t xml:space="preserve">Valid Until:</w:t>
      </w:r>
      <w:r>
        <w:t xml:space="preserve"> </w:t>
      </w:r>
      <w:r>
        <w:t xml:space="preserve">July 15, 2025</w:t>
      </w:r>
    </w:p>
    <w:bookmarkEnd w:id="22"/>
    <w:bookmarkStart w:id="23" w:name="project-overview"/>
    <w:p>
      <w:pPr>
        <w:pStyle w:val="Heading2"/>
      </w:pPr>
      <w:r>
        <w:t xml:space="preserve">1. Project Overview</w:t>
      </w:r>
    </w:p>
    <w:p>
      <w:pPr>
        <w:pStyle w:val="FirstParagraph"/>
      </w:pPr>
      <w:r>
        <w:t xml:space="preserve">This Quotation Estimate is issued by Meridian Architectural Design Group Inc., a licensed Architect firm operating in Canada Toronto, in response to the client's request for comprehensive architectural design and consulting services. The proposed project involves the design, planning, and documentation of a mixed-use residential and commercial development located in the City of Toronto, Ontario, Canada. The Architect firm will provide full-cycle services from initial concept development through to construction administration, ensuring full compliance with the Ontario Building Code, the City of Toronto Zoning By-law, and all applicable municipal regulations governing development in Canada Toronto.</w:t>
      </w:r>
    </w:p>
    <w:bookmarkEnd w:id="23"/>
    <w:bookmarkStart w:id="24" w:name="scope-of-architect-services"/>
    <w:p>
      <w:pPr>
        <w:pStyle w:val="Heading2"/>
      </w:pPr>
      <w:r>
        <w:t xml:space="preserve">2. Scope of Architect Services</w:t>
      </w:r>
    </w:p>
    <w:p>
      <w:pPr>
        <w:pStyle w:val="FirstParagraph"/>
      </w:pPr>
      <w:r>
        <w:t xml:space="preserve">The following scope of work has been prepared by our Architect team to address all phases of the project as required by the client and the regulatory authorities in Canada Toronto:</w:t>
      </w:r>
    </w:p>
    <w:p>
      <w:pPr>
        <w:numPr>
          <w:ilvl w:val="0"/>
          <w:numId w:val="1001"/>
        </w:numPr>
        <w:pStyle w:val="Compact"/>
      </w:pPr>
      <w:r>
        <w:rPr>
          <w:bCs/>
          <w:b/>
        </w:rPr>
        <w:t xml:space="preserve">Pre-Design &amp; Feasibility Study:</w:t>
      </w:r>
      <w:r>
        <w:t xml:space="preserve"> </w:t>
      </w:r>
      <w:r>
        <w:t xml:space="preserve">Site analysis, zoning verification with the City of Toronto Planning Division, environmental assessment coordination, and preliminary massing studies.</w:t>
      </w:r>
    </w:p>
    <w:p>
      <w:pPr>
        <w:numPr>
          <w:ilvl w:val="0"/>
          <w:numId w:val="1001"/>
        </w:numPr>
        <w:pStyle w:val="Compact"/>
      </w:pPr>
      <w:r>
        <w:rPr>
          <w:bCs/>
          <w:b/>
        </w:rPr>
        <w:t xml:space="preserve">Concept Design:</w:t>
      </w:r>
      <w:r>
        <w:t xml:space="preserve"> </w:t>
      </w:r>
      <w:r>
        <w:t xml:space="preserve">Development of three (3) distinct architectural concepts including 3D renderings, material palettes, and preliminary cost estimates in consultation with the client.</w:t>
      </w:r>
    </w:p>
    <w:p>
      <w:pPr>
        <w:numPr>
          <w:ilvl w:val="0"/>
          <w:numId w:val="1001"/>
        </w:numPr>
        <w:pStyle w:val="Compact"/>
      </w:pPr>
      <w:r>
        <w:rPr>
          <w:bCs/>
          <w:b/>
        </w:rPr>
        <w:t xml:space="preserve">Schematic Design:</w:t>
      </w:r>
      <w:r>
        <w:t xml:space="preserve"> </w:t>
      </w:r>
      <w:r>
        <w:t xml:space="preserve">Refinement of the selected concept into detailed floor plans, elevations, sections, and site plans suitable for submission to the Toronto Building Department for pre-consultation.</w:t>
      </w:r>
    </w:p>
    <w:p>
      <w:pPr>
        <w:numPr>
          <w:ilvl w:val="0"/>
          <w:numId w:val="1001"/>
        </w:numPr>
        <w:pStyle w:val="Compact"/>
      </w:pPr>
      <w:r>
        <w:rPr>
          <w:bCs/>
          <w:b/>
        </w:rPr>
        <w:t xml:space="preserve">Design Development:</w:t>
      </w:r>
      <w:r>
        <w:t xml:space="preserve"> </w:t>
      </w:r>
      <w:r>
        <w:t xml:space="preserve">Full architectural detailing including structural coordination, mechanical/electrical/plumbing (MEP) integration, accessibility compliance per the Accessibility for Ontarians with Disabilities Act (AODA), and landscape integration.</w:t>
      </w:r>
    </w:p>
    <w:p>
      <w:pPr>
        <w:numPr>
          <w:ilvl w:val="0"/>
          <w:numId w:val="1001"/>
        </w:numPr>
        <w:pStyle w:val="Compact"/>
      </w:pPr>
      <w:r>
        <w:rPr>
          <w:bCs/>
          <w:b/>
        </w:rPr>
        <w:t xml:space="preserve">Construction Documentation:</w:t>
      </w:r>
      <w:r>
        <w:t xml:space="preserve"> </w:t>
      </w:r>
      <w:r>
        <w:t xml:space="preserve">Production of complete permit drawings, specifications, and schedules required for the issuance of a Building Permit by the City of Toronto.</w:t>
      </w:r>
    </w:p>
    <w:p>
      <w:pPr>
        <w:numPr>
          <w:ilvl w:val="0"/>
          <w:numId w:val="1001"/>
        </w:numPr>
        <w:pStyle w:val="Compact"/>
      </w:pPr>
      <w:r>
        <w:rPr>
          <w:bCs/>
          <w:b/>
        </w:rPr>
        <w:t xml:space="preserve">Permit &amp; Approval Support:</w:t>
      </w:r>
      <w:r>
        <w:t xml:space="preserve"> </w:t>
      </w:r>
      <w:r>
        <w:t xml:space="preserve">Liaison with Toronto municipal reviewers, fire department, Toronto and Region Conservation Authority (TRCA), and any heritage or environmental review bodies as applicable.</w:t>
      </w:r>
    </w:p>
    <w:p>
      <w:pPr>
        <w:numPr>
          <w:ilvl w:val="0"/>
          <w:numId w:val="1001"/>
        </w:numPr>
        <w:pStyle w:val="Compact"/>
      </w:pPr>
      <w:r>
        <w:rPr>
          <w:bCs/>
          <w:b/>
        </w:rPr>
        <w:t xml:space="preserve">Tender &amp; Procurement Assistance:</w:t>
      </w:r>
      <w:r>
        <w:t xml:space="preserve"> </w:t>
      </w:r>
      <w:r>
        <w:t xml:space="preserve">Preparation of tender documents, coordination of contractor bids, and support in the selection of the general contractor.</w:t>
      </w:r>
    </w:p>
    <w:p>
      <w:pPr>
        <w:numPr>
          <w:ilvl w:val="0"/>
          <w:numId w:val="1001"/>
        </w:numPr>
        <w:pStyle w:val="Compact"/>
      </w:pPr>
      <w:r>
        <w:rPr>
          <w:bCs/>
          <w:b/>
        </w:rPr>
        <w:t xml:space="preserve">Construction Administration:</w:t>
      </w:r>
      <w:r>
        <w:t xml:space="preserve"> </w:t>
      </w:r>
      <w:r>
        <w:t xml:space="preserve">Site visits (minimum bi-weekly), review of shop drawings, response to Requests for Information (RFIs), and issuance of Certificates of Substantial Completion.</w:t>
      </w:r>
    </w:p>
    <w:bookmarkEnd w:id="24"/>
    <w:bookmarkStart w:id="25" w:name="Xecf3771f97bee37e22c575b798b43bfdc6c1310"/>
    <w:p>
      <w:pPr>
        <w:pStyle w:val="Heading2"/>
      </w:pPr>
      <w:r>
        <w:t xml:space="preserve">3. Fee Schedule &amp;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 / Service</w:t>
            </w:r>
          </w:p>
        </w:tc>
        <w:tc>
          <w:tcPr/>
          <w:p>
            <w:pPr>
              <w:pStyle w:val="Compact"/>
              <w:jc w:val="left"/>
            </w:pPr>
            <w:r>
              <w:t xml:space="preserve">Description</w:t>
            </w:r>
          </w:p>
        </w:tc>
        <w:tc>
          <w:tcPr/>
          <w:p>
            <w:pPr>
              <w:pStyle w:val="Compact"/>
              <w:jc w:val="left"/>
            </w:pPr>
            <w:r>
              <w:t xml:space="preserve">Estimated 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Pre-Design &amp; Feasibility</w:t>
            </w:r>
          </w:p>
        </w:tc>
        <w:tc>
          <w:tcPr/>
          <w:p>
            <w:pPr>
              <w:pStyle w:val="Compact"/>
              <w:jc w:val="left"/>
            </w:pPr>
            <w:r>
              <w:t xml:space="preserve">Site analysis, zoning review, feasibility report</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$11,600.00</w:t>
            </w:r>
          </w:p>
        </w:tc>
      </w:tr>
      <w:tr>
        <w:tc>
          <w:tcPr/>
          <w:p>
            <w:pPr>
              <w:pStyle w:val="Compact"/>
              <w:jc w:val="left"/>
            </w:pPr>
            <w:r>
              <w:t xml:space="preserve">Concept Design</w:t>
            </w:r>
          </w:p>
        </w:tc>
        <w:tc>
          <w:tcPr/>
          <w:p>
            <w:pPr>
              <w:pStyle w:val="Compact"/>
              <w:jc w:val="left"/>
            </w:pPr>
            <w:r>
              <w:t xml:space="preserve">Three concepts, 3D visualizations, client presentations</w:t>
            </w:r>
          </w:p>
        </w:tc>
        <w:tc>
          <w:tcPr/>
          <w:p>
            <w:pPr>
              <w:pStyle w:val="Compact"/>
              <w:jc w:val="left"/>
            </w:pPr>
            <w:r>
              <w:t xml:space="preserve">120</w:t>
            </w:r>
          </w:p>
        </w:tc>
        <w:tc>
          <w:tcPr/>
          <w:p>
            <w:pPr>
              <w:pStyle w:val="Compact"/>
              <w:jc w:val="left"/>
            </w:pPr>
            <w:r>
              <w:t xml:space="preserve">$145.00</w:t>
            </w:r>
          </w:p>
        </w:tc>
        <w:tc>
          <w:tcPr/>
          <w:p>
            <w:pPr>
              <w:pStyle w:val="Compact"/>
              <w:jc w:val="left"/>
            </w:pPr>
            <w:r>
              <w:t xml:space="preserve">$17,400.00</w:t>
            </w:r>
          </w:p>
        </w:tc>
      </w:tr>
      <w:tr>
        <w:tc>
          <w:tcPr/>
          <w:p>
            <w:pPr>
              <w:pStyle w:val="Compact"/>
              <w:jc w:val="left"/>
            </w:pPr>
            <w:r>
              <w:t xml:space="preserve">Schematic Design</w:t>
            </w:r>
          </w:p>
        </w:tc>
        <w:tc>
          <w:tcPr/>
          <w:p>
            <w:pPr>
              <w:pStyle w:val="Compact"/>
              <w:jc w:val="left"/>
            </w:pPr>
            <w:r>
              <w:t xml:space="preserve">Detailed plans, elevations, sections, pre-consultation</w:t>
            </w:r>
          </w:p>
        </w:tc>
        <w:tc>
          <w:tcPr/>
          <w:p>
            <w:pPr>
              <w:pStyle w:val="Compact"/>
              <w:jc w:val="left"/>
            </w:pPr>
            <w:r>
              <w:t xml:space="preserve">160</w:t>
            </w:r>
          </w:p>
        </w:tc>
        <w:tc>
          <w:tcPr/>
          <w:p>
            <w:pPr>
              <w:pStyle w:val="Compact"/>
              <w:jc w:val="left"/>
            </w:pPr>
            <w:r>
              <w:t xml:space="preserve">$150.00</w:t>
            </w:r>
          </w:p>
        </w:tc>
        <w:tc>
          <w:tcPr/>
          <w:p>
            <w:pPr>
              <w:pStyle w:val="Compact"/>
              <w:jc w:val="left"/>
            </w:pPr>
            <w:r>
              <w:t xml:space="preserve">$24,000.00</w:t>
            </w:r>
          </w:p>
        </w:tc>
      </w:tr>
      <w:tr>
        <w:tc>
          <w:tcPr/>
          <w:p>
            <w:pPr>
              <w:pStyle w:val="Compact"/>
              <w:jc w:val="left"/>
            </w:pPr>
            <w:r>
              <w:t xml:space="preserve">Design Development</w:t>
            </w:r>
          </w:p>
        </w:tc>
        <w:tc>
          <w:tcPr/>
          <w:p>
            <w:pPr>
              <w:pStyle w:val="Compact"/>
              <w:jc w:val="left"/>
            </w:pPr>
            <w:r>
              <w:t xml:space="preserve">Full detailing, MEP coordination, AODA compliance</w:t>
            </w:r>
          </w:p>
        </w:tc>
        <w:tc>
          <w:tcPr/>
          <w:p>
            <w:pPr>
              <w:pStyle w:val="Compact"/>
              <w:jc w:val="left"/>
            </w:pPr>
            <w:r>
              <w:t xml:space="preserve">200</w:t>
            </w:r>
          </w:p>
        </w:tc>
        <w:tc>
          <w:tcPr/>
          <w:p>
            <w:pPr>
              <w:pStyle w:val="Compact"/>
              <w:jc w:val="left"/>
            </w:pPr>
            <w:r>
              <w:t xml:space="preserve">$150.00</w:t>
            </w:r>
          </w:p>
        </w:tc>
        <w:tc>
          <w:tcPr/>
          <w:p>
            <w:pPr>
              <w:pStyle w:val="Compact"/>
              <w:jc w:val="left"/>
            </w:pPr>
            <w:r>
              <w:t xml:space="preserve">$30,000.00</w:t>
            </w:r>
          </w:p>
        </w:tc>
      </w:tr>
      <w:tr>
        <w:tc>
          <w:tcPr/>
          <w:p>
            <w:pPr>
              <w:pStyle w:val="Compact"/>
              <w:jc w:val="left"/>
            </w:pPr>
            <w:r>
              <w:t xml:space="preserve">Construction Documentation</w:t>
            </w:r>
          </w:p>
        </w:tc>
        <w:tc>
          <w:tcPr/>
          <w:p>
            <w:pPr>
              <w:pStyle w:val="Compact"/>
              <w:jc w:val="left"/>
            </w:pPr>
            <w:r>
              <w:t xml:space="preserve">Permit drawings, specifications, schedules</w:t>
            </w:r>
          </w:p>
        </w:tc>
        <w:tc>
          <w:tcPr/>
          <w:p>
            <w:pPr>
              <w:pStyle w:val="Compact"/>
              <w:jc w:val="left"/>
            </w:pPr>
            <w:r>
              <w:t xml:space="preserve">280</w:t>
            </w:r>
          </w:p>
        </w:tc>
        <w:tc>
          <w:tcPr/>
          <w:p>
            <w:pPr>
              <w:pStyle w:val="Compact"/>
              <w:jc w:val="left"/>
            </w:pPr>
            <w:r>
              <w:t xml:space="preserve">$155.00</w:t>
            </w:r>
          </w:p>
        </w:tc>
        <w:tc>
          <w:tcPr/>
          <w:p>
            <w:pPr>
              <w:pStyle w:val="Compact"/>
              <w:jc w:val="left"/>
            </w:pPr>
            <w:r>
              <w:t xml:space="preserve">$43,400.00</w:t>
            </w:r>
          </w:p>
        </w:tc>
      </w:tr>
      <w:tr>
        <w:tc>
          <w:tcPr/>
          <w:p>
            <w:pPr>
              <w:pStyle w:val="Compact"/>
              <w:jc w:val="left"/>
            </w:pPr>
            <w:r>
              <w:t xml:space="preserve">Permit &amp; Approval Support</w:t>
            </w:r>
          </w:p>
        </w:tc>
        <w:tc>
          <w:tcPr/>
          <w:p>
            <w:pPr>
              <w:pStyle w:val="Compact"/>
              <w:jc w:val="left"/>
            </w:pPr>
            <w:r>
              <w:t xml:space="preserve">Municipal liaison, review responses, resubmittals</w:t>
            </w:r>
          </w:p>
        </w:tc>
        <w:tc>
          <w:tcPr/>
          <w:p>
            <w:pPr>
              <w:pStyle w:val="Compact"/>
              <w:jc w:val="left"/>
            </w:pPr>
            <w:r>
              <w:t xml:space="preserve">60</w:t>
            </w:r>
          </w:p>
        </w:tc>
        <w:tc>
          <w:tcPr/>
          <w:p>
            <w:pPr>
              <w:pStyle w:val="Compact"/>
              <w:jc w:val="left"/>
            </w:pPr>
            <w:r>
              <w:t xml:space="preserve">$155.00</w:t>
            </w:r>
          </w:p>
        </w:tc>
        <w:tc>
          <w:tcPr/>
          <w:p>
            <w:pPr>
              <w:pStyle w:val="Compact"/>
              <w:jc w:val="left"/>
            </w:pPr>
            <w:r>
              <w:t xml:space="preserve">$9,300.00</w:t>
            </w:r>
          </w:p>
        </w:tc>
      </w:tr>
      <w:tr>
        <w:tc>
          <w:tcPr/>
          <w:p>
            <w:pPr>
              <w:pStyle w:val="Compact"/>
              <w:jc w:val="left"/>
            </w:pPr>
            <w:r>
              <w:t xml:space="preserve">Tender &amp; Procurement</w:t>
            </w:r>
          </w:p>
        </w:tc>
        <w:tc>
          <w:tcPr/>
          <w:p>
            <w:pPr>
              <w:pStyle w:val="Compact"/>
              <w:jc w:val="left"/>
            </w:pPr>
            <w:r>
              <w:t xml:space="preserve">Tender documents, bid coordination, contractor selection</w:t>
            </w:r>
          </w:p>
        </w:tc>
        <w:tc>
          <w:tcPr/>
          <w:p>
            <w:pPr>
              <w:pStyle w:val="Compact"/>
              <w:jc w:val="left"/>
            </w:pPr>
            <w:r>
              <w:t xml:space="preserve">50</w:t>
            </w:r>
          </w:p>
        </w:tc>
        <w:tc>
          <w:tcPr/>
          <w:p>
            <w:pPr>
              <w:pStyle w:val="Compact"/>
              <w:jc w:val="left"/>
            </w:pPr>
            <w:r>
              <w:t xml:space="preserve">$155.00</w:t>
            </w:r>
          </w:p>
        </w:tc>
        <w:tc>
          <w:tcPr/>
          <w:p>
            <w:pPr>
              <w:pStyle w:val="Compact"/>
              <w:jc w:val="left"/>
            </w:pPr>
            <w:r>
              <w:t xml:space="preserve">$7,750.00</w:t>
            </w:r>
          </w:p>
        </w:tc>
      </w:tr>
      <w:tr>
        <w:tc>
          <w:tcPr/>
          <w:p>
            <w:pPr>
              <w:pStyle w:val="Compact"/>
              <w:jc w:val="left"/>
            </w:pPr>
            <w:r>
              <w:t xml:space="preserve">Construction Administration</w:t>
            </w:r>
          </w:p>
        </w:tc>
        <w:tc>
          <w:tcPr/>
          <w:p>
            <w:pPr>
              <w:pStyle w:val="Compact"/>
              <w:jc w:val="left"/>
            </w:pPr>
            <w:r>
              <w:t xml:space="preserve">Site visits, RFI responses, shop drawing review</w:t>
            </w:r>
          </w:p>
        </w:tc>
        <w:tc>
          <w:tcPr/>
          <w:p>
            <w:pPr>
              <w:pStyle w:val="Compact"/>
              <w:jc w:val="left"/>
            </w:pPr>
            <w:r>
              <w:t xml:space="preserve">140</w:t>
            </w:r>
          </w:p>
        </w:tc>
        <w:tc>
          <w:tcPr/>
          <w:p>
            <w:pPr>
              <w:pStyle w:val="Compact"/>
              <w:jc w:val="left"/>
            </w:pPr>
            <w:r>
              <w:t xml:space="preserve">$160.00</w:t>
            </w:r>
          </w:p>
        </w:tc>
        <w:tc>
          <w:tcPr/>
          <w:p>
            <w:pPr>
              <w:pStyle w:val="Compact"/>
              <w:jc w:val="left"/>
            </w:pPr>
            <w:r>
              <w:t xml:space="preserve">$22,400.00</w:t>
            </w:r>
          </w:p>
        </w:tc>
      </w:tr>
      <w:tr>
        <w:tc>
          <w:tcPr/>
          <w:p>
            <w:pPr>
              <w:pStyle w:val="Compact"/>
              <w:jc w:val="left"/>
            </w:pPr>
            <w:r>
              <w:t xml:space="preserve">Contingency (10%)</w:t>
            </w:r>
          </w:p>
        </w:tc>
        <w:tc>
          <w:tcPr/>
          <w:p>
            <w:pPr>
              <w:pStyle w:val="Compact"/>
              <w:jc w:val="left"/>
            </w:pPr>
            <w:r>
              <w:t xml:space="preserve">Unforeseen design revisions or additional municipal requirements</w:t>
            </w:r>
          </w:p>
        </w:tc>
        <w:tc>
          <w:tcPr/>
          <w:p>
            <w:pPr>
              <w:pStyle w:val="Compact"/>
              <w:jc w:val="left"/>
            </w:pPr>
            <w:r>
              <w:t xml:space="preserve">—</w:t>
            </w:r>
          </w:p>
        </w:tc>
        <w:tc>
          <w:tcPr/>
          <w:p>
            <w:pPr>
              <w:pStyle w:val="Compact"/>
              <w:jc w:val="left"/>
            </w:pPr>
            <w:r>
              <w:t xml:space="preserve">—</w:t>
            </w:r>
          </w:p>
        </w:tc>
        <w:tc>
          <w:tcPr/>
          <w:p>
            <w:pPr>
              <w:pStyle w:val="Compact"/>
              <w:jc w:val="left"/>
            </w:pPr>
            <w:r>
              <w:t xml:space="preserve">$16,585.00</w:t>
            </w:r>
          </w:p>
        </w:tc>
      </w:tr>
      <w:tr>
        <w:tc>
          <w:tcPr>
            <w:gridSpan w:val="4"/>
          </w:tcPr>
          <w:p>
            <w:pPr>
              <w:pStyle w:val="Compact"/>
              <w:jc w:val="right"/>
            </w:pPr>
            <w:r>
              <w:t xml:space="preserve">Subtotal (before HST):</w:t>
            </w:r>
          </w:p>
        </w:tc>
        <w:tc>
          <w:tcPr/>
          <w:p>
            <w:pPr>
              <w:pStyle w:val="Compact"/>
              <w:jc w:val="left"/>
            </w:pPr>
            <w:r>
              <w:t xml:space="preserve">$182,435.00</w:t>
            </w:r>
          </w:p>
        </w:tc>
      </w:tr>
      <w:tr>
        <w:tc>
          <w:tcPr>
            <w:gridSpan w:val="4"/>
          </w:tcPr>
          <w:p>
            <w:pPr>
              <w:pStyle w:val="Compact"/>
              <w:jc w:val="right"/>
            </w:pPr>
            <w:r>
              <w:t xml:space="preserve">HST (13% — Ontario, Canada):</w:t>
            </w:r>
          </w:p>
        </w:tc>
        <w:tc>
          <w:tcPr/>
          <w:p>
            <w:pPr>
              <w:pStyle w:val="Compact"/>
              <w:jc w:val="left"/>
            </w:pPr>
            <w:r>
              <w:t xml:space="preserve">$23,716.55</w:t>
            </w:r>
          </w:p>
        </w:tc>
      </w:tr>
      <w:tr>
        <w:tc>
          <w:tcPr>
            <w:gridSpan w:val="4"/>
          </w:tcPr>
          <w:p>
            <w:pPr>
              <w:pStyle w:val="Compact"/>
              <w:jc w:val="right"/>
            </w:pPr>
            <w:r>
              <w:t xml:space="preserve">TOTAL QUOTATION ESTIMATE (CAD):</w:t>
            </w:r>
          </w:p>
        </w:tc>
        <w:tc>
          <w:tcPr/>
          <w:p>
            <w:pPr>
              <w:pStyle w:val="Compact"/>
              <w:jc w:val="left"/>
            </w:pPr>
            <w:r>
              <w:t xml:space="preserve">$206,151.55</w:t>
            </w:r>
          </w:p>
        </w:tc>
      </w:tr>
    </w:tbl>
    <w:p>
      <w:pPr>
        <w:pStyle w:val="BodyText"/>
      </w:pPr>
      <w:r>
        <w:rPr>
          <w:bCs/>
          <w:b/>
        </w:rPr>
        <w:t xml:space="preserve">Note:</w:t>
      </w:r>
      <w:r>
        <w:t xml:space="preserve"> </w:t>
      </w:r>
      <w:r>
        <w:t xml:space="preserve">This Quotation Estimate is based on the project parameters as described in the client's initial brief. Should the scope of the Architect services change materially (e.g., addition of storeys, change in use, or significant site constraints identified during due diligence), a revised Quotation Estimate will be issued prior to proceeding with additional work. All fees are quoted in Canadian Dollars (CAD) and are subject to the 13% Harmonized Sales Tax (HST) applicable in the Province of Ontario, Canada Toronto.</w:t>
      </w:r>
    </w:p>
    <w:bookmarkEnd w:id="25"/>
    <w:bookmarkStart w:id="26" w:name="payment-schedule"/>
    <w:p>
      <w:pPr>
        <w:pStyle w:val="Heading2"/>
      </w:pPr>
      <w:r>
        <w:t xml:space="preserve">4.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(CAD, incl. HST)</w:t>
            </w:r>
          </w:p>
        </w:tc>
      </w:tr>
      <w:tr>
        <w:tc>
          <w:tcPr/>
          <w:p>
            <w:pPr>
              <w:pStyle w:val="Compact"/>
              <w:jc w:val="left"/>
            </w:pPr>
            <w:r>
              <w:t xml:space="preserve">Upon execution of this Quotation Estimate and engagement letter</w:t>
            </w:r>
          </w:p>
        </w:tc>
        <w:tc>
          <w:tcPr/>
          <w:p>
            <w:pPr>
              <w:pStyle w:val="Compact"/>
              <w:jc w:val="left"/>
            </w:pPr>
            <w:r>
              <w:t xml:space="preserve">15%</w:t>
            </w:r>
          </w:p>
        </w:tc>
        <w:tc>
          <w:tcPr/>
          <w:p>
            <w:pPr>
              <w:pStyle w:val="Compact"/>
              <w:jc w:val="left"/>
            </w:pPr>
            <w:r>
              <w:t xml:space="preserve">$30,922.73</w:t>
            </w:r>
          </w:p>
        </w:tc>
      </w:tr>
      <w:tr>
        <w:tc>
          <w:tcPr/>
          <w:p>
            <w:pPr>
              <w:pStyle w:val="Compact"/>
              <w:jc w:val="left"/>
            </w:pPr>
            <w:r>
              <w:t xml:space="preserve">Upon approval of Concept Design</w:t>
            </w:r>
          </w:p>
        </w:tc>
        <w:tc>
          <w:tcPr/>
          <w:p>
            <w:pPr>
              <w:pStyle w:val="Compact"/>
              <w:jc w:val="left"/>
            </w:pPr>
            <w:r>
              <w:t xml:space="preserve">15%</w:t>
            </w:r>
          </w:p>
        </w:tc>
        <w:tc>
          <w:tcPr/>
          <w:p>
            <w:pPr>
              <w:pStyle w:val="Compact"/>
              <w:jc w:val="left"/>
            </w:pPr>
            <w:r>
              <w:t xml:space="preserve">$30,922.73</w:t>
            </w:r>
          </w:p>
        </w:tc>
      </w:tr>
      <w:tr>
        <w:tc>
          <w:tcPr/>
          <w:p>
            <w:pPr>
              <w:pStyle w:val="Compact"/>
              <w:jc w:val="left"/>
            </w:pPr>
            <w:r>
              <w:t xml:space="preserve">Upon approval of Schematic Design</w:t>
            </w:r>
          </w:p>
        </w:tc>
        <w:tc>
          <w:tcPr/>
          <w:p>
            <w:pPr>
              <w:pStyle w:val="Compact"/>
              <w:jc w:val="left"/>
            </w:pPr>
            <w:r>
              <w:t xml:space="preserve">15%</w:t>
            </w:r>
          </w:p>
        </w:tc>
        <w:tc>
          <w:tcPr/>
          <w:p>
            <w:pPr>
              <w:pStyle w:val="Compact"/>
              <w:jc w:val="left"/>
            </w:pPr>
            <w:r>
              <w:t xml:space="preserve">$30,922.73</w:t>
            </w:r>
          </w:p>
        </w:tc>
      </w:tr>
      <w:tr>
        <w:tc>
          <w:tcPr/>
          <w:p>
            <w:pPr>
              <w:pStyle w:val="Compact"/>
              <w:jc w:val="left"/>
            </w:pPr>
            <w:r>
              <w:t xml:space="preserve">Upon approval of Design Development</w:t>
            </w:r>
          </w:p>
        </w:tc>
        <w:tc>
          <w:tcPr/>
          <w:p>
            <w:pPr>
              <w:pStyle w:val="Compact"/>
              <w:jc w:val="left"/>
            </w:pPr>
            <w:r>
              <w:t xml:space="preserve">20%</w:t>
            </w:r>
          </w:p>
        </w:tc>
        <w:tc>
          <w:tcPr/>
          <w:p>
            <w:pPr>
              <w:pStyle w:val="Compact"/>
              <w:jc w:val="left"/>
            </w:pPr>
            <w:r>
              <w:t xml:space="preserve">$41,230.31</w:t>
            </w:r>
          </w:p>
        </w:tc>
      </w:tr>
      <w:tr>
        <w:tc>
          <w:tcPr/>
          <w:p>
            <w:pPr>
              <w:pStyle w:val="Compact"/>
              <w:jc w:val="left"/>
            </w:pPr>
            <w:r>
              <w:t xml:space="preserve">Upon submission of Construction Documentation for permit</w:t>
            </w:r>
          </w:p>
        </w:tc>
        <w:tc>
          <w:tcPr/>
          <w:p>
            <w:pPr>
              <w:pStyle w:val="Compact"/>
              <w:jc w:val="left"/>
            </w:pPr>
            <w:r>
              <w:t xml:space="preserve">20%</w:t>
            </w:r>
          </w:p>
        </w:tc>
        <w:tc>
          <w:tcPr/>
          <w:p>
            <w:pPr>
              <w:pStyle w:val="Compact"/>
              <w:jc w:val="left"/>
            </w:pPr>
            <w:r>
              <w:t xml:space="preserve">$41,230.31</w:t>
            </w:r>
          </w:p>
        </w:tc>
      </w:tr>
      <w:tr>
        <w:tc>
          <w:tcPr/>
          <w:p>
            <w:pPr>
              <w:pStyle w:val="Compact"/>
              <w:jc w:val="left"/>
            </w:pPr>
            <w:r>
              <w:t xml:space="preserve">Upon issuance of Building Permit</w:t>
            </w:r>
          </w:p>
        </w:tc>
        <w:tc>
          <w:tcPr/>
          <w:p>
            <w:pPr>
              <w:pStyle w:val="Compact"/>
              <w:jc w:val="left"/>
            </w:pPr>
            <w:r>
              <w:t xml:space="preserve">10%</w:t>
            </w:r>
          </w:p>
        </w:tc>
        <w:tc>
          <w:tcPr/>
          <w:p>
            <w:pPr>
              <w:pStyle w:val="Compact"/>
              <w:jc w:val="left"/>
            </w:pPr>
            <w:r>
              <w:t xml:space="preserve">$20,615.16</w:t>
            </w:r>
          </w:p>
        </w:tc>
      </w:tr>
      <w:tr>
        <w:tc>
          <w:tcPr/>
          <w:p>
            <w:pPr>
              <w:pStyle w:val="Compact"/>
              <w:jc w:val="left"/>
            </w:pPr>
            <w:r>
              <w:t xml:space="preserve">Upon Substantial Completion (Construction Administration)</w:t>
            </w:r>
          </w:p>
        </w:tc>
        <w:tc>
          <w:tcPr/>
          <w:p>
            <w:pPr>
              <w:pStyle w:val="Compact"/>
              <w:jc w:val="left"/>
            </w:pPr>
            <w:r>
              <w:t xml:space="preserve">5%</w:t>
            </w:r>
          </w:p>
        </w:tc>
        <w:tc>
          <w:tcPr/>
          <w:p>
            <w:pPr>
              <w:pStyle w:val="Compact"/>
              <w:jc w:val="left"/>
            </w:pPr>
            <w:r>
              <w:t xml:space="preserve">$10,307.58</w:t>
            </w:r>
          </w:p>
        </w:tc>
      </w:tr>
    </w:tbl>
    <w:bookmarkEnd w:id="26"/>
    <w:bookmarkStart w:id="27" w:name="terms-conditions"/>
    <w:p>
      <w:pPr>
        <w:pStyle w:val="Heading2"/>
      </w:pPr>
      <w:r>
        <w:t xml:space="preserve">5. Terms &amp; Conditions</w:t>
      </w:r>
    </w:p>
    <w:p>
      <w:pPr>
        <w:numPr>
          <w:ilvl w:val="0"/>
          <w:numId w:val="1002"/>
        </w:numPr>
        <w:pStyle w:val="Compact"/>
      </w:pPr>
      <w:r>
        <w:t xml:space="preserve">This Quotation Estimate is valid for thirty (30) calendar days from the date of issue. After this period, fees and availability of the Architect team may be subject to revision.</w:t>
      </w:r>
    </w:p>
    <w:p>
      <w:pPr>
        <w:numPr>
          <w:ilvl w:val="0"/>
          <w:numId w:val="1002"/>
        </w:numPr>
        <w:pStyle w:val="Compact"/>
      </w:pPr>
      <w:r>
        <w:t xml:space="preserve">All payments are due within thirty (30) days of invoice date. Late payments shall accrue interest at the rate of 1.5% per month or the maximum rate permitted under the Ontario</w:t>
      </w:r>
      <w:r>
        <w:t xml:space="preserve"> </w:t>
      </w:r>
      <w:r>
        <w:rPr>
          <w:iCs/>
          <w:i/>
        </w:rPr>
        <w:t xml:space="preserve">Interest Act</w:t>
      </w:r>
      <w:r>
        <w:t xml:space="preserve">, whichever is lower.</w:t>
      </w:r>
    </w:p>
    <w:p>
      <w:pPr>
        <w:numPr>
          <w:ilvl w:val="0"/>
          <w:numId w:val="1002"/>
        </w:numPr>
        <w:pStyle w:val="Compact"/>
      </w:pPr>
      <w:r>
        <w:t xml:space="preserve">The Architect firm shall not be liable for delays caused by municipal review processes, third-party consultants, or client decision timelines beyond the Architect's reasonable control.</w:t>
      </w:r>
    </w:p>
    <w:p>
      <w:pPr>
        <w:numPr>
          <w:ilvl w:val="0"/>
          <w:numId w:val="1002"/>
        </w:numPr>
        <w:pStyle w:val="Compact"/>
      </w:pPr>
      <w:r>
        <w:t xml:space="preserve">All intellectual property, drawings, and design documents produced under this engagement remain the property of Meridian Architectural Design Group Inc. until full payment has been received. Upon final payment, the client receives a non-exclusive licence to use the documents for the specific project in Canada Toronto.</w:t>
      </w:r>
    </w:p>
    <w:p>
      <w:pPr>
        <w:numPr>
          <w:ilvl w:val="0"/>
          <w:numId w:val="1002"/>
        </w:numPr>
        <w:pStyle w:val="Compact"/>
      </w:pPr>
      <w:r>
        <w:t xml:space="preserve">This Quotation Estimate does not constitute a fixed-price contract. Fees are estimated based on the scope described herein. Any work outside the defined scope will be billed as a variation at the applicable hourly rate.</w:t>
      </w:r>
    </w:p>
    <w:p>
      <w:pPr>
        <w:numPr>
          <w:ilvl w:val="0"/>
          <w:numId w:val="1002"/>
        </w:numPr>
        <w:pStyle w:val="Compact"/>
      </w:pPr>
      <w:r>
        <w:t xml:space="preserve">The Architect services are governed by the laws of the Province of Ontario, Canada, and any disputes shall be resolved through mediation or arbitration in Toronto, Ontario, in accordance with the</w:t>
      </w:r>
      <w:r>
        <w:t xml:space="preserve"> </w:t>
      </w:r>
      <w:r>
        <w:rPr>
          <w:iCs/>
          <w:i/>
        </w:rPr>
        <w:t xml:space="preserve">Arbitration Act, 1991</w:t>
      </w:r>
      <w:r>
        <w:t xml:space="preserve"> </w:t>
      </w:r>
      <w:r>
        <w:t xml:space="preserve">(Ontario).</w:t>
      </w:r>
    </w:p>
    <w:p>
      <w:pPr>
        <w:numPr>
          <w:ilvl w:val="0"/>
          <w:numId w:val="1002"/>
        </w:numPr>
        <w:pStyle w:val="Compact"/>
      </w:pPr>
      <w:r>
        <w:t xml:space="preserve">The Architect firm carries professional liability insurance in the amount of $5,000,000 per occurrence, as required by the Ontario Association of Architects (OAA).</w:t>
      </w:r>
    </w:p>
    <w:p>
      <w:pPr>
        <w:numPr>
          <w:ilvl w:val="0"/>
          <w:numId w:val="1002"/>
        </w:numPr>
        <w:pStyle w:val="Compact"/>
      </w:pPr>
      <w:r>
        <w:t xml:space="preserve">This Quotation Estimate is subject to the standard terms of the OAA Model Contract for Architectural Services, which shall be incorporated by reference upon execution.</w:t>
      </w:r>
    </w:p>
    <w:bookmarkEnd w:id="27"/>
    <w:bookmarkStart w:id="28" w:name="acceptance-authorization"/>
    <w:p>
      <w:pPr>
        <w:pStyle w:val="Heading2"/>
      </w:pPr>
      <w:r>
        <w:t xml:space="preserve">6. Acceptance &amp; Authorization</w:t>
      </w:r>
    </w:p>
    <w:p>
      <w:pPr>
        <w:pStyle w:val="FirstParagraph"/>
      </w:pPr>
      <w:r>
        <w:t xml:space="preserve">By signing below, the client acknowledges receipt of this Quotation Estimate and agrees to the terms, conditions, and fee structure outlined herein for the Architect services to be delivered in Canada Toronto. This document, once countersigned by both parties, shall serve as the basis for the formal Architect engagement agreement.</w:t>
      </w:r>
    </w:p>
    <w:p>
      <w:pPr>
        <w:pStyle w:val="BodyText"/>
      </w:pPr>
      <w:r>
        <w:rPr>
          <w:bCs/>
          <w:b/>
        </w:rPr>
        <w:t xml:space="preserve">For Meridian Architectural Design Group Inc.</w:t>
      </w:r>
      <w:r>
        <w:br/>
      </w:r>
      <w:r>
        <w:t xml:space="preserve">Name: ______________________________</w:t>
      </w:r>
      <w:r>
        <w:br/>
      </w:r>
      <w:r>
        <w:t xml:space="preserve">Title: Principal Architect, OAA</w:t>
      </w:r>
      <w:r>
        <w:br/>
      </w:r>
      <w:r>
        <w:t xml:space="preserve">Date: ______________________________</w:t>
      </w:r>
    </w:p>
    <w:p>
      <w:pPr>
        <w:pStyle w:val="BodyText"/>
      </w:pPr>
      <w:r>
        <w:rPr>
          <w:bCs/>
          <w:b/>
        </w:rPr>
        <w:t xml:space="preserve">For the Client</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Meridian Architectural Design Group Inc. — 2840 Yonge Street, Suite 1400, Toronto, Ontario M4P 2B7, Canada</w:t>
      </w:r>
      <w:r>
        <w:br/>
      </w:r>
      <w:r>
        <w:t xml:space="preserve">Quotation Estimate No. QE-2025-0487 — Page 1 of 1 — This document is confidential and intended solely for the named client.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Architect Services - Canada Toronto</dc:title>
  <dc:creator/>
  <dc:language>en</dc:language>
  <cp:keywords/>
  <dcterms:created xsi:type="dcterms:W3CDTF">2026-10-10T04:31:35Z</dcterms:created>
  <dcterms:modified xsi:type="dcterms:W3CDTF">2026-10-10T04:31:35Z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