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Architect Services — Santiago, Chile</w:t>
      </w:r>
    </w:p>
    <w:p>
      <w:pPr>
        <w:pStyle w:val="BodyText"/>
      </w:pPr>
      <w:r>
        <w:t xml:space="preserve">Quotation Reference: QTE-SCL-2025-04782</w:t>
      </w:r>
    </w:p>
    <w:p>
      <w:pPr>
        <w:pStyle w:val="BodyText"/>
      </w:pPr>
      <w:r>
        <w:t xml:space="preserve">ARCHITECT SERVICES • CHILE SANTIAGO</w:t>
      </w:r>
    </w:p>
    <w:bookmarkEnd w:id="20"/>
    <w:bookmarkStart w:id="21" w:name="issued-by-architect-firm"/>
    <w:p>
      <w:pPr>
        <w:pStyle w:val="Heading3"/>
      </w:pPr>
      <w:r>
        <w:t xml:space="preserve">Issued By (Architect Firm)</w:t>
      </w:r>
    </w:p>
    <w:p>
      <w:pPr>
        <w:pStyle w:val="FirstParagraph"/>
      </w:pPr>
      <w:r>
        <w:rPr>
          <w:bCs/>
          <w:b/>
        </w:rPr>
        <w:t xml:space="preserve">Estudio Arquitectónico Andes Patagonia SpA</w:t>
      </w:r>
    </w:p>
    <w:p>
      <w:pPr>
        <w:pStyle w:val="BodyText"/>
      </w:pPr>
      <w:r>
        <w:t xml:space="preserve">Address: Av. Apoquindo 4501, Of. 1203, Las Condes</w:t>
      </w:r>
    </w:p>
    <w:p>
      <w:pPr>
        <w:pStyle w:val="BodyText"/>
      </w:pPr>
      <w:r>
        <w:t xml:space="preserve">Santiago, Región Metropolitana, Chile</w:t>
      </w:r>
    </w:p>
    <w:p>
      <w:pPr>
        <w:pStyle w:val="BodyText"/>
      </w:pPr>
      <w:r>
        <w:t xml:space="preserve">RUT: 76.543.210-K</w:t>
      </w:r>
    </w:p>
    <w:p>
      <w:pPr>
        <w:pStyle w:val="BodyText"/>
      </w:pPr>
      <w:r>
        <w:t xml:space="preserve">Phone: +56 2 2345 6789</w:t>
      </w:r>
    </w:p>
    <w:p>
      <w:pPr>
        <w:pStyle w:val="BodyText"/>
      </w:pPr>
      <w:r>
        <w:t xml:space="preserve">Email: proyectos@andespatagonia.cl</w:t>
      </w:r>
    </w:p>
    <w:p>
      <w:pPr>
        <w:pStyle w:val="BodyText"/>
      </w:pPr>
      <w:r>
        <w:t xml:space="preserve">Architect in Charge: Arq. María Fernanda Rojas, M.Arch.</w:t>
      </w:r>
    </w:p>
    <w:bookmarkEnd w:id="21"/>
    <w:bookmarkStart w:id="22" w:name="prepared-for-client"/>
    <w:p>
      <w:pPr>
        <w:pStyle w:val="Heading3"/>
      </w:pPr>
      <w:r>
        <w:t xml:space="preserve">Prepared For (Client)</w:t>
      </w:r>
    </w:p>
    <w:p>
      <w:pPr>
        <w:pStyle w:val="FirstParagraph"/>
      </w:pPr>
      <w:r>
        <w:rPr>
          <w:bCs/>
          <w:b/>
        </w:rPr>
        <w:t xml:space="preserve">Constructora del Pacífico Limitada</w:t>
      </w:r>
    </w:p>
    <w:p>
      <w:pPr>
        <w:pStyle w:val="BodyText"/>
      </w:pPr>
      <w:r>
        <w:t xml:space="preserve">Address: Av. Providencia 1850, Piso 8</w:t>
      </w:r>
    </w:p>
    <w:p>
      <w:pPr>
        <w:pStyle w:val="BodyText"/>
      </w:pPr>
      <w:r>
        <w:t xml:space="preserve">Providencia, Santiago, Chile</w:t>
      </w:r>
    </w:p>
    <w:p>
      <w:pPr>
        <w:pStyle w:val="BodyText"/>
      </w:pPr>
      <w:r>
        <w:t xml:space="preserve">RUT: 78.912.345-6</w:t>
      </w:r>
    </w:p>
    <w:p>
      <w:pPr>
        <w:pStyle w:val="BodyText"/>
      </w:pPr>
      <w:r>
        <w:t xml:space="preserve">Contact: Sr. Carlos Mendoza, Gerente de Proyectos</w:t>
      </w:r>
    </w:p>
    <w:p>
      <w:pPr>
        <w:pStyle w:val="BodyText"/>
      </w:pPr>
      <w:r>
        <w:t xml:space="preserve">Phone: +56 9 8765 4321</w:t>
      </w:r>
    </w:p>
    <w:p>
      <w:pPr>
        <w:pStyle w:val="BodyText"/>
      </w:pPr>
      <w:r>
        <w:t xml:space="preserve">Email: cmendoza@constructorapacifico.cl</w:t>
      </w:r>
    </w:p>
    <w:bookmarkEnd w:id="22"/>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calendar days from issue date</w:t>
      </w:r>
    </w:p>
    <w:p>
      <w:pPr>
        <w:pStyle w:val="BodyText"/>
      </w:pPr>
      <w:r>
        <w:rPr>
          <w:bCs/>
          <w:b/>
        </w:rPr>
        <w:t xml:space="preserve">Project Location:</w:t>
      </w:r>
      <w:r>
        <w:t xml:space="preserve"> </w:t>
      </w:r>
      <w:r>
        <w:t xml:space="preserve">Santiago, Chile (Región Metropolitana)</w:t>
      </w:r>
    </w:p>
    <w:p>
      <w:pPr>
        <w:pStyle w:val="BodyText"/>
      </w:pPr>
      <w:r>
        <w:rPr>
          <w:bCs/>
          <w:b/>
        </w:rPr>
        <w:t xml:space="preserve">Project Type:</w:t>
      </w:r>
      <w:r>
        <w:t xml:space="preserve"> </w:t>
      </w:r>
      <w:r>
        <w:t xml:space="preserve">Residential &amp; Commercial Mixed-Use Development</w:t>
      </w:r>
    </w:p>
    <w:p>
      <w:pPr>
        <w:pStyle w:val="BodyText"/>
      </w:pPr>
      <w:r>
        <w:rPr>
          <w:bCs/>
          <w:b/>
        </w:rPr>
        <w:t xml:space="preserve">Estimated Area:</w:t>
      </w:r>
      <w:r>
        <w:t xml:space="preserve"> </w:t>
      </w:r>
      <w:r>
        <w:t xml:space="preserve">4,200 m² (Santiago, Chile)</w:t>
      </w:r>
    </w:p>
    <w:p>
      <w:pPr>
        <w:pStyle w:val="BodyText"/>
      </w:pPr>
      <w:r>
        <w:rPr>
          <w:bCs/>
          <w:b/>
        </w:rPr>
        <w:t xml:space="preserve">Payment Currency:</w:t>
      </w:r>
      <w:r>
        <w:t xml:space="preserve"> </w:t>
      </w:r>
      <w:r>
        <w:t xml:space="preserve">Chilean Pesos (CLP)</w:t>
      </w:r>
    </w:p>
    <w:p>
      <w:pPr>
        <w:pStyle w:val="BodyText"/>
      </w:pPr>
      <w:r>
        <w:t xml:space="preserve">1. Scope of Architect Services — Santiago, Chile</w:t>
      </w:r>
    </w:p>
    <w:p>
      <w:pPr>
        <w:pStyle w:val="BodyText"/>
      </w:pPr>
      <w:r>
        <w:t xml:space="preserve">This Quotation Estimate is issued by Estudio Arquitectónico Andes Patagonia SpA to formally present the professional fees and associated costs for the full range of Architect services required for the design, development, and construction supervision of the mixed-use residential and commercial project located in the commune of Las Condes, Santiago, Chile. The Architect firm shall be responsible for all phases of architectural design in compliance with the Chilean Building Code (Código de la Construcción), the local urban planning regulations of the Metropolitan Region, and the specific zoning ordinances of the municipality of Santiago.</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w:t>
            </w:r>
          </w:p>
        </w:tc>
        <w:tc>
          <w:tcPr/>
          <w:p>
            <w:pPr>
              <w:pStyle w:val="Compact"/>
              <w:jc w:val="left"/>
            </w:pPr>
            <w:r>
              <w:t xml:space="preserve">Architect Service Description</w:t>
            </w:r>
          </w:p>
        </w:tc>
        <w:tc>
          <w:tcPr/>
          <w:p>
            <w:pPr>
              <w:pStyle w:val="Compact"/>
              <w:jc w:val="left"/>
            </w:pPr>
            <w:r>
              <w:t xml:space="preserve">Phase / Stage</w:t>
            </w:r>
          </w:p>
        </w:tc>
        <w:tc>
          <w:tcPr/>
          <w:p>
            <w:pPr>
              <w:pStyle w:val="Compact"/>
              <w:jc w:val="left"/>
            </w:pPr>
            <w:r>
              <w:t xml:space="preserve">Duration</w:t>
            </w:r>
          </w:p>
        </w:tc>
        <w:tc>
          <w:tcPr/>
          <w:p>
            <w:pPr>
              <w:pStyle w:val="Compact"/>
              <w:jc w:val="left"/>
            </w:pPr>
            <w:r>
              <w:t xml:space="preserve">Amount (CLP)</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Feasibility Study &amp; Site Analysis in Santiago, Chile (topography, solar orientation, wind patterns, urban context)</w:t>
            </w:r>
          </w:p>
        </w:tc>
        <w:tc>
          <w:tcPr/>
          <w:p>
            <w:pPr>
              <w:pStyle w:val="Compact"/>
              <w:jc w:val="left"/>
            </w:pPr>
            <w:r>
              <w:t xml:space="preserve">Pre-Design</w:t>
            </w:r>
          </w:p>
        </w:tc>
        <w:tc>
          <w:tcPr/>
          <w:p>
            <w:pPr>
              <w:pStyle w:val="Compact"/>
              <w:jc w:val="left"/>
            </w:pPr>
            <w:r>
              <w:t xml:space="preserve">3 weeks</w:t>
            </w:r>
          </w:p>
        </w:tc>
        <w:tc>
          <w:tcPr/>
          <w:p>
            <w:pPr>
              <w:pStyle w:val="Compact"/>
              <w:jc w:val="left"/>
            </w:pPr>
            <w:r>
              <w:t xml:space="preserve">1,850,000</w:t>
            </w:r>
          </w:p>
        </w:tc>
        <w:tc>
          <w:tcPr/>
          <w:p>
            <w:pPr>
              <w:pStyle w:val="Compact"/>
              <w:jc w:val="left"/>
            </w:pPr>
            <w:r>
              <w:t xml:space="preserve">351,500</w:t>
            </w:r>
          </w:p>
        </w:tc>
      </w:tr>
      <w:tr>
        <w:tc>
          <w:tcPr/>
          <w:p>
            <w:pPr>
              <w:pStyle w:val="Compact"/>
              <w:jc w:val="left"/>
            </w:pPr>
            <w:r>
              <w:t xml:space="preserve">2</w:t>
            </w:r>
          </w:p>
        </w:tc>
        <w:tc>
          <w:tcPr/>
          <w:p>
            <w:pPr>
              <w:pStyle w:val="Compact"/>
              <w:jc w:val="left"/>
            </w:pPr>
            <w:r>
              <w:t xml:space="preserve">Conceptual Architect Design — massing studies, volumetric proposals, and preliminary floor plans for the 4,200 m² development</w:t>
            </w:r>
          </w:p>
        </w:tc>
        <w:tc>
          <w:tcPr/>
          <w:p>
            <w:pPr>
              <w:pStyle w:val="Compact"/>
              <w:jc w:val="left"/>
            </w:pPr>
            <w:r>
              <w:t xml:space="preserve">Concept Design</w:t>
            </w:r>
          </w:p>
        </w:tc>
        <w:tc>
          <w:tcPr/>
          <w:p>
            <w:pPr>
              <w:pStyle w:val="Compact"/>
              <w:jc w:val="left"/>
            </w:pPr>
            <w:r>
              <w:t xml:space="preserve">5 weeks</w:t>
            </w:r>
          </w:p>
        </w:tc>
        <w:tc>
          <w:tcPr/>
          <w:p>
            <w:pPr>
              <w:pStyle w:val="Compact"/>
              <w:jc w:val="left"/>
            </w:pPr>
            <w:r>
              <w:t xml:space="preserve">4,200,000</w:t>
            </w:r>
          </w:p>
        </w:tc>
        <w:tc>
          <w:tcPr/>
          <w:p>
            <w:pPr>
              <w:pStyle w:val="Compact"/>
              <w:jc w:val="left"/>
            </w:pPr>
            <w:r>
              <w:t xml:space="preserve">798,000</w:t>
            </w:r>
          </w:p>
        </w:tc>
      </w:tr>
      <w:tr>
        <w:tc>
          <w:tcPr/>
          <w:p>
            <w:pPr>
              <w:pStyle w:val="Compact"/>
              <w:jc w:val="left"/>
            </w:pPr>
            <w:r>
              <w:t xml:space="preserve">3</w:t>
            </w:r>
          </w:p>
        </w:tc>
        <w:tc>
          <w:tcPr/>
          <w:p>
            <w:pPr>
              <w:pStyle w:val="Compact"/>
              <w:jc w:val="left"/>
            </w:pPr>
            <w:r>
              <w:t xml:space="preserve">Schematic Design Development — detailed architectural drawings, material palettes, and structural coordination for Santiago, Chile compliance</w:t>
            </w:r>
          </w:p>
        </w:tc>
        <w:tc>
          <w:tcPr/>
          <w:p>
            <w:pPr>
              <w:pStyle w:val="Compact"/>
              <w:jc w:val="left"/>
            </w:pPr>
            <w:r>
              <w:t xml:space="preserve">Schematic Design</w:t>
            </w:r>
          </w:p>
        </w:tc>
        <w:tc>
          <w:tcPr/>
          <w:p>
            <w:pPr>
              <w:pStyle w:val="Compact"/>
              <w:jc w:val="left"/>
            </w:pPr>
            <w:r>
              <w:t xml:space="preserve">6 weeks</w:t>
            </w:r>
          </w:p>
        </w:tc>
        <w:tc>
          <w:tcPr/>
          <w:p>
            <w:pPr>
              <w:pStyle w:val="Compact"/>
              <w:jc w:val="left"/>
            </w:pPr>
            <w:r>
              <w:t xml:space="preserve">5,600,000</w:t>
            </w:r>
          </w:p>
        </w:tc>
        <w:tc>
          <w:tcPr/>
          <w:p>
            <w:pPr>
              <w:pStyle w:val="Compact"/>
              <w:jc w:val="left"/>
            </w:pPr>
            <w:r>
              <w:t xml:space="preserve">1,064,000</w:t>
            </w:r>
          </w:p>
        </w:tc>
      </w:tr>
      <w:tr>
        <w:tc>
          <w:tcPr/>
          <w:p>
            <w:pPr>
              <w:pStyle w:val="Compact"/>
              <w:jc w:val="left"/>
            </w:pPr>
            <w:r>
              <w:t xml:space="preserve">4</w:t>
            </w:r>
          </w:p>
        </w:tc>
        <w:tc>
          <w:tcPr/>
          <w:p>
            <w:pPr>
              <w:pStyle w:val="Compact"/>
              <w:jc w:val="left"/>
            </w:pPr>
            <w:r>
              <w:t xml:space="preserve">Design Development &amp; Technical Documentation — full set of construction drawings, specifications, and technical memos per Chilean regulations</w:t>
            </w:r>
          </w:p>
        </w:tc>
        <w:tc>
          <w:tcPr/>
          <w:p>
            <w:pPr>
              <w:pStyle w:val="Compact"/>
              <w:jc w:val="left"/>
            </w:pPr>
            <w:r>
              <w:t xml:space="preserve">Design Development</w:t>
            </w:r>
          </w:p>
        </w:tc>
        <w:tc>
          <w:tcPr/>
          <w:p>
            <w:pPr>
              <w:pStyle w:val="Compact"/>
              <w:jc w:val="left"/>
            </w:pPr>
            <w:r>
              <w:t xml:space="preserve">8 weeks</w:t>
            </w:r>
          </w:p>
        </w:tc>
        <w:tc>
          <w:tcPr/>
          <w:p>
            <w:pPr>
              <w:pStyle w:val="Compact"/>
              <w:jc w:val="left"/>
            </w:pPr>
            <w:r>
              <w:t xml:space="preserve">7,800,000</w:t>
            </w:r>
          </w:p>
        </w:tc>
        <w:tc>
          <w:tcPr/>
          <w:p>
            <w:pPr>
              <w:pStyle w:val="Compact"/>
              <w:jc w:val="left"/>
            </w:pPr>
            <w:r>
              <w:t xml:space="preserve">1,482,000</w:t>
            </w:r>
          </w:p>
        </w:tc>
      </w:tr>
      <w:tr>
        <w:tc>
          <w:tcPr/>
          <w:p>
            <w:pPr>
              <w:pStyle w:val="Compact"/>
              <w:jc w:val="left"/>
            </w:pPr>
            <w:r>
              <w:t xml:space="preserve">5</w:t>
            </w:r>
          </w:p>
        </w:tc>
        <w:tc>
          <w:tcPr/>
          <w:p>
            <w:pPr>
              <w:pStyle w:val="Compact"/>
              <w:jc w:val="left"/>
            </w:pPr>
            <w:r>
              <w:t xml:space="preserve">Construction Documentation &amp; Permitting Package — preparation and submission of all documents to the Seremi de Vivienda y Urbanismo and the Municipalidad de Santiago for building permit (Permiso de Edificación)</w:t>
            </w:r>
          </w:p>
        </w:tc>
        <w:tc>
          <w:tcPr/>
          <w:p>
            <w:pPr>
              <w:pStyle w:val="Compact"/>
              <w:jc w:val="left"/>
            </w:pPr>
            <w:r>
              <w:t xml:space="preserve">Documentation</w:t>
            </w:r>
          </w:p>
        </w:tc>
        <w:tc>
          <w:tcPr/>
          <w:p>
            <w:pPr>
              <w:pStyle w:val="Compact"/>
              <w:jc w:val="left"/>
            </w:pPr>
            <w:r>
              <w:t xml:space="preserve">6 weeks</w:t>
            </w:r>
          </w:p>
        </w:tc>
        <w:tc>
          <w:tcPr/>
          <w:p>
            <w:pPr>
              <w:pStyle w:val="Compact"/>
              <w:jc w:val="left"/>
            </w:pPr>
            <w:r>
              <w:t xml:space="preserve">4,500,000</w:t>
            </w:r>
          </w:p>
        </w:tc>
        <w:tc>
          <w:tcPr/>
          <w:p>
            <w:pPr>
              <w:pStyle w:val="Compact"/>
              <w:jc w:val="left"/>
            </w:pPr>
            <w:r>
              <w:t xml:space="preserve">855,000</w:t>
            </w:r>
          </w:p>
        </w:tc>
      </w:tr>
      <w:tr>
        <w:tc>
          <w:tcPr/>
          <w:p>
            <w:pPr>
              <w:pStyle w:val="Compact"/>
              <w:jc w:val="left"/>
            </w:pPr>
            <w:r>
              <w:t xml:space="preserve">6</w:t>
            </w:r>
          </w:p>
        </w:tc>
        <w:tc>
          <w:tcPr/>
          <w:p>
            <w:pPr>
              <w:pStyle w:val="Compact"/>
              <w:jc w:val="left"/>
            </w:pPr>
            <w:r>
              <w:t xml:space="preserve">Construction Administration &amp; Site Supervision — weekly site visits in Santiago, Chile, progress inspections, and coordination with contractors</w:t>
            </w:r>
          </w:p>
        </w:tc>
        <w:tc>
          <w:tcPr/>
          <w:p>
            <w:pPr>
              <w:pStyle w:val="Compact"/>
              <w:jc w:val="left"/>
            </w:pPr>
            <w:r>
              <w:t xml:space="preserve">Construction Phase</w:t>
            </w:r>
          </w:p>
        </w:tc>
        <w:tc>
          <w:tcPr/>
          <w:p>
            <w:pPr>
              <w:pStyle w:val="Compact"/>
              <w:jc w:val="left"/>
            </w:pPr>
            <w:r>
              <w:t xml:space="preserve">18 months</w:t>
            </w:r>
          </w:p>
        </w:tc>
        <w:tc>
          <w:tcPr/>
          <w:p>
            <w:pPr>
              <w:pStyle w:val="Compact"/>
              <w:jc w:val="left"/>
            </w:pPr>
            <w:r>
              <w:t xml:space="preserve">12,400,000</w:t>
            </w:r>
          </w:p>
        </w:tc>
        <w:tc>
          <w:tcPr/>
          <w:p>
            <w:pPr>
              <w:pStyle w:val="Compact"/>
              <w:jc w:val="left"/>
            </w:pPr>
            <w:r>
              <w:t xml:space="preserve">2,356,000</w:t>
            </w:r>
          </w:p>
        </w:tc>
      </w:tr>
      <w:tr>
        <w:tc>
          <w:tcPr/>
          <w:p>
            <w:pPr>
              <w:pStyle w:val="Compact"/>
              <w:jc w:val="left"/>
            </w:pPr>
            <w:r>
              <w:t xml:space="preserve">7</w:t>
            </w:r>
          </w:p>
        </w:tc>
        <w:tc>
          <w:tcPr/>
          <w:p>
            <w:pPr>
              <w:pStyle w:val="Compact"/>
              <w:jc w:val="left"/>
            </w:pPr>
            <w:r>
              <w:t xml:space="preserve">Interior Architect Design — common areas, lobby, commercial ground floor, and amenity spaces</w:t>
            </w:r>
          </w:p>
        </w:tc>
        <w:tc>
          <w:tcPr/>
          <w:p>
            <w:pPr>
              <w:pStyle w:val="Compact"/>
              <w:jc w:val="left"/>
            </w:pPr>
            <w:r>
              <w:t xml:space="preserve">Interior Design</w:t>
            </w:r>
          </w:p>
        </w:tc>
        <w:tc>
          <w:tcPr/>
          <w:p>
            <w:pPr>
              <w:pStyle w:val="Compact"/>
              <w:jc w:val="left"/>
            </w:pPr>
            <w:r>
              <w:t xml:space="preserve">4 weeks</w:t>
            </w:r>
          </w:p>
        </w:tc>
        <w:tc>
          <w:tcPr/>
          <w:p>
            <w:pPr>
              <w:pStyle w:val="Compact"/>
              <w:jc w:val="left"/>
            </w:pPr>
            <w:r>
              <w:t xml:space="preserve">3,200,000</w:t>
            </w:r>
          </w:p>
        </w:tc>
        <w:tc>
          <w:tcPr/>
          <w:p>
            <w:pPr>
              <w:pStyle w:val="Compact"/>
              <w:jc w:val="left"/>
            </w:pPr>
            <w:r>
              <w:t xml:space="preserve">608,000</w:t>
            </w:r>
          </w:p>
        </w:tc>
      </w:tr>
      <w:tr>
        <w:tc>
          <w:tcPr/>
          <w:p>
            <w:pPr>
              <w:pStyle w:val="Compact"/>
              <w:jc w:val="left"/>
            </w:pPr>
            <w:r>
              <w:t xml:space="preserve">8</w:t>
            </w:r>
          </w:p>
        </w:tc>
        <w:tc>
          <w:tcPr/>
          <w:p>
            <w:pPr>
              <w:pStyle w:val="Compact"/>
              <w:jc w:val="left"/>
            </w:pPr>
            <w:r>
              <w:t xml:space="preserve">Landscape &amp; Urban Integration Plan — green areas, pedestrian pathways, and integration with the Santiago, Chile urban fabric</w:t>
            </w:r>
          </w:p>
        </w:tc>
        <w:tc>
          <w:tcPr/>
          <w:p>
            <w:pPr>
              <w:pStyle w:val="Compact"/>
              <w:jc w:val="left"/>
            </w:pPr>
            <w:r>
              <w:t xml:space="preserve">Landscape</w:t>
            </w:r>
          </w:p>
        </w:tc>
        <w:tc>
          <w:tcPr/>
          <w:p>
            <w:pPr>
              <w:pStyle w:val="Compact"/>
              <w:jc w:val="left"/>
            </w:pPr>
            <w:r>
              <w:t xml:space="preserve">3 weeks</w:t>
            </w:r>
          </w:p>
        </w:tc>
        <w:tc>
          <w:tcPr/>
          <w:p>
            <w:pPr>
              <w:pStyle w:val="Compact"/>
              <w:jc w:val="left"/>
            </w:pPr>
            <w:r>
              <w:t xml:space="preserve">2,100,000</w:t>
            </w:r>
          </w:p>
        </w:tc>
        <w:tc>
          <w:tcPr/>
          <w:p>
            <w:pPr>
              <w:pStyle w:val="Compact"/>
              <w:jc w:val="left"/>
            </w:pPr>
            <w:r>
              <w:t xml:space="preserve">399,000</w:t>
            </w:r>
          </w:p>
        </w:tc>
      </w:tr>
      <w:tr>
        <w:tc>
          <w:tcPr/>
          <w:p>
            <w:pPr>
              <w:pStyle w:val="Compact"/>
              <w:jc w:val="left"/>
            </w:pPr>
            <w:r>
              <w:t xml:space="preserve">9</w:t>
            </w:r>
          </w:p>
        </w:tc>
        <w:tc>
          <w:tcPr/>
          <w:p>
            <w:pPr>
              <w:pStyle w:val="Compact"/>
              <w:jc w:val="left"/>
            </w:pPr>
            <w:r>
              <w:t xml:space="preserve">Energy Efficiency &amp; Sustainability Certification Support (LEED / Chilean Green Building Standard)</w:t>
            </w:r>
          </w:p>
        </w:tc>
        <w:tc>
          <w:tcPr/>
          <w:p>
            <w:pPr>
              <w:pStyle w:val="Compact"/>
              <w:jc w:val="left"/>
            </w:pPr>
            <w:r>
              <w:t xml:space="preserve">Sustainability</w:t>
            </w:r>
          </w:p>
        </w:tc>
        <w:tc>
          <w:tcPr/>
          <w:p>
            <w:pPr>
              <w:pStyle w:val="Compact"/>
              <w:jc w:val="left"/>
            </w:pPr>
            <w:r>
              <w:t xml:space="preserve">4 weeks</w:t>
            </w:r>
          </w:p>
        </w:tc>
        <w:tc>
          <w:tcPr/>
          <w:p>
            <w:pPr>
              <w:pStyle w:val="Compact"/>
              <w:jc w:val="left"/>
            </w:pPr>
            <w:r>
              <w:t xml:space="preserve">1,950,000</w:t>
            </w:r>
          </w:p>
        </w:tc>
        <w:tc>
          <w:tcPr/>
          <w:p>
            <w:pPr>
              <w:pStyle w:val="Compact"/>
              <w:jc w:val="left"/>
            </w:pPr>
            <w:r>
              <w:t xml:space="preserve">370,500</w:t>
            </w:r>
          </w:p>
        </w:tc>
      </w:tr>
      <w:tr>
        <w:tc>
          <w:tcPr/>
          <w:p>
            <w:pPr>
              <w:pStyle w:val="Compact"/>
              <w:jc w:val="left"/>
            </w:pPr>
            <w:r>
              <w:t xml:space="preserve">10</w:t>
            </w:r>
          </w:p>
        </w:tc>
        <w:tc>
          <w:tcPr/>
          <w:p>
            <w:pPr>
              <w:pStyle w:val="Compact"/>
              <w:jc w:val="left"/>
            </w:pPr>
            <w:r>
              <w:t xml:space="preserve">Final As-Built Documentation &amp; Project Handover Package</w:t>
            </w:r>
          </w:p>
        </w:tc>
        <w:tc>
          <w:tcPr/>
          <w:p>
            <w:pPr>
              <w:pStyle w:val="Compact"/>
              <w:jc w:val="left"/>
            </w:pPr>
            <w:r>
              <w:t xml:space="preserve">Closeout</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228,000</w:t>
            </w:r>
          </w:p>
        </w:tc>
      </w:tr>
      <w:tr>
        <w:tc>
          <w:tcPr>
            <w:gridSpan w:val="4"/>
          </w:tcPr>
          <w:p>
            <w:pPr>
              <w:pStyle w:val="Compact"/>
              <w:jc w:val="left"/>
            </w:pPr>
            <w:r>
              <w:t xml:space="preserve">SUBTOTAL (Architect Professional Fees)</w:t>
            </w:r>
          </w:p>
        </w:tc>
        <w:tc>
          <w:tcPr/>
          <w:p>
            <w:pPr>
              <w:pStyle w:val="Compact"/>
              <w:jc w:val="left"/>
            </w:pPr>
            <w:r>
              <w:t xml:space="preserve">44,800,000</w:t>
            </w:r>
          </w:p>
        </w:tc>
        <w:tc>
          <w:tcPr/>
          <w:p>
            <w:pPr>
              <w:pStyle w:val="Compact"/>
              <w:jc w:val="left"/>
            </w:pPr>
            <w:r>
              <w:t xml:space="preserve">8,512,000</w:t>
            </w:r>
          </w:p>
        </w:tc>
      </w:tr>
      <w:tr>
        <w:tc>
          <w:tcPr>
            <w:gridSpan w:val="4"/>
          </w:tcPr>
          <w:p>
            <w:pPr>
              <w:pStyle w:val="Compact"/>
              <w:jc w:val="left"/>
            </w:pPr>
            <w:r>
              <w:t xml:space="preserve">TOTAL QUOTATION ESTIMATE (incl. VAT 19%)</w:t>
            </w:r>
          </w:p>
        </w:tc>
        <w:tc>
          <w:tcPr>
            <w:gridSpan w:val="2"/>
          </w:tcPr>
          <w:p>
            <w:pPr>
              <w:pStyle w:val="Compact"/>
              <w:jc w:val="left"/>
            </w:pPr>
            <w:r>
              <w:t xml:space="preserve">53,312,000 CLP</w:t>
            </w:r>
          </w:p>
        </w:tc>
      </w:tr>
    </w:tbl>
    <w:p>
      <w:pPr>
        <w:pStyle w:val="BodyText"/>
      </w:pPr>
      <w:r>
        <w:t xml:space="preserve">3. Payment Schedule</w:t>
      </w:r>
    </w:p>
    <w:p>
      <w:pPr>
        <w:pStyle w:val="BodyText"/>
      </w:pPr>
      <w:r>
        <w:t xml:space="preserve">This Quotation Estimate for Architect services in Santiago, Chile shall be paid according to the following milestone-based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(CLP, incl. VAT)</w:t>
            </w:r>
          </w:p>
        </w:tc>
      </w:tr>
      <w:tr>
        <w:tc>
          <w:tcPr/>
          <w:p>
            <w:pPr>
              <w:pStyle w:val="Compact"/>
              <w:jc w:val="left"/>
            </w:pPr>
            <w:r>
              <w:t xml:space="preserve">Contract signing &amp; mobilization</w:t>
            </w:r>
          </w:p>
        </w:tc>
        <w:tc>
          <w:tcPr/>
          <w:p>
            <w:pPr>
              <w:pStyle w:val="Compact"/>
              <w:jc w:val="left"/>
            </w:pPr>
            <w:r>
              <w:t xml:space="preserve">15%</w:t>
            </w:r>
          </w:p>
        </w:tc>
        <w:tc>
          <w:tcPr/>
          <w:p>
            <w:pPr>
              <w:pStyle w:val="Compact"/>
              <w:jc w:val="left"/>
            </w:pPr>
            <w:r>
              <w:t xml:space="preserve">7,996,800</w:t>
            </w:r>
          </w:p>
        </w:tc>
      </w:tr>
      <w:tr>
        <w:tc>
          <w:tcPr/>
          <w:p>
            <w:pPr>
              <w:pStyle w:val="Compact"/>
              <w:jc w:val="left"/>
            </w:pPr>
            <w:r>
              <w:t xml:space="preserve">Concept Design approval</w:t>
            </w:r>
          </w:p>
        </w:tc>
        <w:tc>
          <w:tcPr/>
          <w:p>
            <w:pPr>
              <w:pStyle w:val="Compact"/>
              <w:jc w:val="left"/>
            </w:pPr>
            <w:r>
              <w:t xml:space="preserve">15%</w:t>
            </w:r>
          </w:p>
        </w:tc>
        <w:tc>
          <w:tcPr/>
          <w:p>
            <w:pPr>
              <w:pStyle w:val="Compact"/>
              <w:jc w:val="left"/>
            </w:pPr>
            <w:r>
              <w:t xml:space="preserve">7,996,800</w:t>
            </w:r>
          </w:p>
        </w:tc>
      </w:tr>
      <w:tr>
        <w:tc>
          <w:tcPr/>
          <w:p>
            <w:pPr>
              <w:pStyle w:val="Compact"/>
              <w:jc w:val="left"/>
            </w:pPr>
            <w:r>
              <w:t xml:space="preserve">Schematic Design approval</w:t>
            </w:r>
          </w:p>
        </w:tc>
        <w:tc>
          <w:tcPr/>
          <w:p>
            <w:pPr>
              <w:pStyle w:val="Compact"/>
              <w:jc w:val="left"/>
            </w:pPr>
            <w:r>
              <w:t xml:space="preserve">15%</w:t>
            </w:r>
          </w:p>
        </w:tc>
        <w:tc>
          <w:tcPr/>
          <w:p>
            <w:pPr>
              <w:pStyle w:val="Compact"/>
              <w:jc w:val="left"/>
            </w:pPr>
            <w:r>
              <w:t xml:space="preserve">7,996,800</w:t>
            </w:r>
          </w:p>
        </w:tc>
      </w:tr>
      <w:tr>
        <w:tc>
          <w:tcPr/>
          <w:p>
            <w:pPr>
              <w:pStyle w:val="Compact"/>
              <w:jc w:val="left"/>
            </w:pPr>
            <w:r>
              <w:t xml:space="preserve">Design Development &amp; Permit submission</w:t>
            </w:r>
          </w:p>
        </w:tc>
        <w:tc>
          <w:tcPr/>
          <w:p>
            <w:pPr>
              <w:pStyle w:val="Compact"/>
              <w:jc w:val="left"/>
            </w:pPr>
            <w:r>
              <w:t xml:space="preserve">20%</w:t>
            </w:r>
          </w:p>
        </w:tc>
        <w:tc>
          <w:tcPr/>
          <w:p>
            <w:pPr>
              <w:pStyle w:val="Compact"/>
              <w:jc w:val="left"/>
            </w:pPr>
            <w:r>
              <w:t xml:space="preserve">10,662,400</w:t>
            </w:r>
          </w:p>
        </w:tc>
      </w:tr>
      <w:tr>
        <w:tc>
          <w:tcPr/>
          <w:p>
            <w:pPr>
              <w:pStyle w:val="Compact"/>
              <w:jc w:val="left"/>
            </w:pPr>
            <w:r>
              <w:t xml:space="preserve">Construction supervision (monthly installments over 18 months)</w:t>
            </w:r>
          </w:p>
        </w:tc>
        <w:tc>
          <w:tcPr/>
          <w:p>
            <w:pPr>
              <w:pStyle w:val="Compact"/>
              <w:jc w:val="left"/>
            </w:pPr>
            <w:r>
              <w:t xml:space="preserve">25%</w:t>
            </w:r>
          </w:p>
        </w:tc>
        <w:tc>
          <w:tcPr/>
          <w:p>
            <w:pPr>
              <w:pStyle w:val="Compact"/>
              <w:jc w:val="left"/>
            </w:pPr>
            <w:r>
              <w:t xml:space="preserve">13,328,000</w:t>
            </w:r>
          </w:p>
        </w:tc>
      </w:tr>
      <w:tr>
        <w:tc>
          <w:tcPr/>
          <w:p>
            <w:pPr>
              <w:pStyle w:val="Compact"/>
              <w:jc w:val="left"/>
            </w:pPr>
            <w:r>
              <w:t xml:space="preserve">Final handover &amp; as-built delivery</w:t>
            </w:r>
          </w:p>
        </w:tc>
        <w:tc>
          <w:tcPr/>
          <w:p>
            <w:pPr>
              <w:pStyle w:val="Compact"/>
              <w:jc w:val="left"/>
            </w:pPr>
            <w:r>
              <w:t xml:space="preserve">10%</w:t>
            </w:r>
          </w:p>
        </w:tc>
        <w:tc>
          <w:tcPr/>
          <w:p>
            <w:pPr>
              <w:pStyle w:val="Compact"/>
              <w:jc w:val="left"/>
            </w:pPr>
            <w:r>
              <w:t xml:space="preserve">5,331,200</w:t>
            </w:r>
          </w:p>
        </w:tc>
      </w:tr>
    </w:tbl>
    <w:p>
      <w:pPr>
        <w:pStyle w:val="BodyText"/>
      </w:pPr>
      <w:r>
        <w:t xml:space="preserve">4. Terms &amp; Conditions of this Quotation Estimate</w:t>
      </w:r>
    </w:p>
    <w:p>
      <w:pPr>
        <w:numPr>
          <w:ilvl w:val="0"/>
          <w:numId w:val="1001"/>
        </w:numPr>
        <w:pStyle w:val="Compact"/>
      </w:pPr>
      <w:r>
        <w:t xml:space="preserve">This Quotation Estimate is valid for thirty (30) calendar days from the date of issue. After this period, the Architect firm reserves the right to revise pricing due to market conditions in Santiago, Chile.</w:t>
      </w:r>
    </w:p>
    <w:p>
      <w:pPr>
        <w:numPr>
          <w:ilvl w:val="0"/>
          <w:numId w:val="1001"/>
        </w:numPr>
        <w:pStyle w:val="Compact"/>
      </w:pPr>
      <w:r>
        <w:t xml:space="preserve">All amounts are expressed in Chilean Pesos (CLP) and include the applicable 19% Value Added Tax (IVA) as established by the Servicio de Impuestos Nacionales of Chile.</w:t>
      </w:r>
    </w:p>
    <w:p>
      <w:pPr>
        <w:numPr>
          <w:ilvl w:val="0"/>
          <w:numId w:val="1001"/>
        </w:numPr>
        <w:pStyle w:val="Compact"/>
      </w:pPr>
      <w:r>
        <w:t xml:space="preserve">The Architect firm shall comply with all professional standards set by the Colegio de Arquitectos de Chile and the regulations of the Superintendencia de Construcción y Vivienda (SERVICIO).</w:t>
      </w:r>
    </w:p>
    <w:p>
      <w:pPr>
        <w:numPr>
          <w:ilvl w:val="0"/>
          <w:numId w:val="1001"/>
        </w:numPr>
        <w:pStyle w:val="Compact"/>
      </w:pPr>
      <w:r>
        <w:t xml:space="preserve">Any changes to the scope of Architect services beyond the parameters described in this Quotation Estimate shall be subject to a supplementary agreement and additional cost assessment.</w:t>
      </w:r>
    </w:p>
    <w:p>
      <w:pPr>
        <w:numPr>
          <w:ilvl w:val="0"/>
          <w:numId w:val="1001"/>
        </w:numPr>
        <w:pStyle w:val="Compact"/>
      </w:pPr>
      <w:r>
        <w:t xml:space="preserve">The project location is strictly within the administrative boundaries of Santiago, Chile (Región Metropolitana). Travel to sites outside this area will be billed separately.</w:t>
      </w:r>
    </w:p>
    <w:p>
      <w:pPr>
        <w:numPr>
          <w:ilvl w:val="0"/>
          <w:numId w:val="1001"/>
        </w:numPr>
        <w:pStyle w:val="Compact"/>
      </w:pPr>
      <w:r>
        <w:t xml:space="preserve">Intellectual property of all Architect designs, drawings, and documentation produced under this Quotation Estimate shall remain with the Architect firm until full payment is received.</w:t>
      </w:r>
    </w:p>
    <w:p>
      <w:pPr>
        <w:numPr>
          <w:ilvl w:val="0"/>
          <w:numId w:val="1001"/>
        </w:numPr>
        <w:pStyle w:val="Compact"/>
      </w:pPr>
      <w:r>
        <w:t xml:space="preserve">Disputes arising from this Quotation Estimate shall be resolved under the civil jurisdiction of the courts of Santiago, Chile, in accordance with the Chilean Civil Code.</w:t>
      </w:r>
    </w:p>
    <w:p>
      <w:pPr>
        <w:numPr>
          <w:ilvl w:val="0"/>
          <w:numId w:val="1001"/>
        </w:numPr>
        <w:pStyle w:val="Compact"/>
      </w:pPr>
      <w:r>
        <w:t xml:space="preserve">The Architect firm carries professional liability insurance (Seguro de Responsabilidad Civil Profesional) with a coverage of no less than 50,000,000 CLP, valid throughout the project duration in Santiago, Chile.</w:t>
      </w:r>
    </w:p>
    <w:p>
      <w:pPr>
        <w:pStyle w:val="FirstParagraph"/>
      </w:pPr>
      <w:r>
        <w:t xml:space="preserve">5. Acceptance &amp; Authorization</w:t>
      </w:r>
    </w:p>
    <w:p>
      <w:pPr>
        <w:pStyle w:val="BodyText"/>
      </w:pPr>
      <w:r>
        <w:t xml:space="preserve">By signing below, the Client acknowledges receipt of this Quotation Estimate for Architect services in Santiago, Chile, and authorizes Estudio Arquitectónico Andes Patagonia SpA to proceed with the project upon execution of the formal professional services contract.</w:t>
      </w:r>
    </w:p>
    <w:p>
      <w:pPr>
        <w:pStyle w:val="BodyText"/>
      </w:pPr>
      <w:r>
        <w:rPr>
          <w:bCs/>
          <w:b/>
        </w:rPr>
        <w:t xml:space="preserve">For the Architect Firm</w:t>
      </w:r>
      <w:r>
        <w:br/>
      </w:r>
      <w:r>
        <w:t xml:space="preserve">Arq. María Fernanda Rojas</w:t>
      </w:r>
      <w:r>
        <w:br/>
      </w:r>
      <w:r>
        <w:t xml:space="preserve">Director &amp; Lead Architect</w:t>
      </w:r>
      <w:r>
        <w:br/>
      </w:r>
      <w:r>
        <w:t xml:space="preserve">Estudio Arquitectónico Andes Patagonia SpA</w:t>
      </w:r>
      <w:r>
        <w:br/>
      </w:r>
      <w:r>
        <w:t xml:space="preserve">Santiago, Chile</w:t>
      </w:r>
    </w:p>
    <w:p>
      <w:pPr>
        <w:pStyle w:val="BodyText"/>
      </w:pPr>
      <w:r>
        <w:rPr>
          <w:bCs/>
          <w:b/>
        </w:rPr>
        <w:t xml:space="preserve">For the Client</w:t>
      </w:r>
      <w:r>
        <w:br/>
      </w:r>
      <w:r>
        <w:t xml:space="preserve">Sr. Carlos Mendoza</w:t>
      </w:r>
      <w:r>
        <w:br/>
      </w:r>
      <w:r>
        <w:t xml:space="preserve">Gerente de Proyectos</w:t>
      </w:r>
      <w:r>
        <w:br/>
      </w:r>
      <w:r>
        <w:t xml:space="preserve">Constructora del Pacífico Limitada</w:t>
      </w:r>
      <w:r>
        <w:br/>
      </w:r>
      <w:r>
        <w:t xml:space="preserve">Santiago, Chile</w:t>
      </w:r>
    </w:p>
    <w:p>
      <w:pPr>
        <w:pStyle w:val="BodyText"/>
      </w:pPr>
      <w:r>
        <w:t xml:space="preserve">Quotation Estimate QTE-SCL-2025-04782 • Estudio Arquitectónico Andes Patagonia SpA • Santiago, Chile</w:t>
      </w:r>
    </w:p>
    <w:p>
      <w:pPr>
        <w:pStyle w:val="BodyText"/>
      </w:pPr>
      <w:r>
        <w:t xml:space="preserve">This document is a formal Quotation Estimate for professional Architect services and does not constitute a binding contract until both parties execute the definitive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Chile Santiago</dc:title>
  <dc:creator/>
  <dc:language>en</dc:language>
  <cp:keywords/>
  <dcterms:created xsi:type="dcterms:W3CDTF">2026-10-10T04:03:30Z</dcterms:created>
  <dcterms:modified xsi:type="dcterms:W3CDTF">2026-10-10T04:03:30Z</dcterms:modified>
</cp:coreProperties>
</file>

<file path=docProps/custom.xml><?xml version="1.0" encoding="utf-8"?>
<Properties xmlns="http://schemas.openxmlformats.org/officeDocument/2006/custom-properties" xmlns:vt="http://schemas.openxmlformats.org/officeDocument/2006/docPropsVTypes"/>
</file>