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Guangzhou,</w:t>
      </w:r>
      <w:r>
        <w:t xml:space="preserve"> </w:t>
      </w:r>
      <w:r>
        <w:t xml:space="preserve">China</w:t>
      </w:r>
    </w:p>
    <w:bookmarkStart w:id="20" w:name="quotation-estimate"/>
    <w:p>
      <w:pPr>
        <w:pStyle w:val="Heading1"/>
      </w:pPr>
      <w:r>
        <w:t xml:space="preserve">QUOTATION ESTIMATE</w:t>
      </w:r>
    </w:p>
    <w:p>
      <w:pPr>
        <w:pStyle w:val="FirstParagraph"/>
      </w:pPr>
      <w:r>
        <w:t xml:space="preserve">Professional Architectural Design &amp; Consulting Services</w:t>
      </w:r>
    </w:p>
    <w:p>
      <w:pPr>
        <w:pStyle w:val="BodyText"/>
      </w:pPr>
      <w:r>
        <w:t xml:space="preserve">Guangzhou, Guangdong Province, People's Republic of China</w:t>
      </w:r>
    </w:p>
    <w:bookmarkEnd w:id="20"/>
    <w:bookmarkStart w:id="21" w:name="prepared-by-architect"/>
    <w:p>
      <w:pPr>
        <w:pStyle w:val="Heading3"/>
      </w:pPr>
      <w:r>
        <w:t xml:space="preserve">Prepared By (Architect)</w:t>
      </w:r>
    </w:p>
    <w:p>
      <w:pPr>
        <w:pStyle w:val="FirstParagraph"/>
      </w:pPr>
      <w:r>
        <w:rPr>
          <w:bCs/>
          <w:b/>
        </w:rPr>
        <w:t xml:space="preserve">Guangzhou Meridian Architectural Design Co., Ltd.</w:t>
      </w:r>
    </w:p>
    <w:p>
      <w:pPr>
        <w:pStyle w:val="BodyText"/>
      </w:pPr>
      <w:r>
        <w:t xml:space="preserve">Architect in Charge: Li Wei, Registered Architect (Guangdong Province)</w:t>
      </w:r>
    </w:p>
    <w:p>
      <w:pPr>
        <w:pStyle w:val="BodyText"/>
      </w:pPr>
      <w:r>
        <w:t xml:space="preserve">Address: 88 Tianhe Road, Tianhe District, Guangzhou, Guangdong 510620, China</w:t>
      </w:r>
    </w:p>
    <w:p>
      <w:pPr>
        <w:pStyle w:val="BodyText"/>
      </w:pPr>
      <w:r>
        <w:t xml:space="preserve">Tel: +86-20-8876-5432 | Email: design@meridian-arch.cn</w:t>
      </w:r>
    </w:p>
    <w:p>
      <w:pPr>
        <w:pStyle w:val="BodyText"/>
      </w:pPr>
      <w:r>
        <w:t xml:space="preserve">Business License No.: 91440101MA5C8X7K2P</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GZ-ARCH-2025-0417</w:t>
      </w:r>
    </w:p>
    <w:p>
      <w:pPr>
        <w:pStyle w:val="BodyText"/>
      </w:pPr>
      <w:r>
        <w:rPr>
          <w:bCs/>
          <w:b/>
        </w:rPr>
        <w:t xml:space="preserve">Date of Issue:</w:t>
      </w:r>
      <w:r>
        <w:t xml:space="preserve"> </w:t>
      </w:r>
      <w:r>
        <w:t xml:space="preserve">17 June 2025</w:t>
      </w:r>
    </w:p>
    <w:p>
      <w:pPr>
        <w:pStyle w:val="BodyText"/>
      </w:pPr>
      <w:r>
        <w:rPr>
          <w:bCs/>
          <w:b/>
        </w:rPr>
        <w:t xml:space="preserve">Valid Until:</w:t>
      </w:r>
      <w:r>
        <w:t xml:space="preserve"> </w:t>
      </w:r>
      <w:r>
        <w:t xml:space="preserve">17 July 2025 (30 days)</w:t>
      </w:r>
    </w:p>
    <w:p>
      <w:pPr>
        <w:pStyle w:val="BodyText"/>
      </w:pPr>
      <w:r>
        <w:rPr>
          <w:bCs/>
          <w:b/>
        </w:rPr>
        <w:t xml:space="preserve">Project Location:</w:t>
      </w:r>
      <w:r>
        <w:t xml:space="preserve"> </w:t>
      </w:r>
      <w:r>
        <w:t xml:space="preserve">Zhujiang New Town, Tianhe District, Guangzhou, China</w:t>
      </w:r>
    </w:p>
    <w:p>
      <w:pPr>
        <w:pStyle w:val="BodyText"/>
      </w:pPr>
      <w:r>
        <w:rPr>
          <w:bCs/>
          <w:b/>
        </w:rPr>
        <w:t xml:space="preserve">Currency:</w:t>
      </w:r>
      <w:r>
        <w:t xml:space="preserve"> </w:t>
      </w:r>
      <w:r>
        <w:t xml:space="preserve">Chinese Yuan (CNY / RMB)</w:t>
      </w:r>
    </w:p>
    <w:bookmarkEnd w:id="22"/>
    <w:bookmarkStart w:id="23" w:name="prepared-for-client"/>
    <w:p>
      <w:pPr>
        <w:pStyle w:val="Heading3"/>
      </w:pPr>
      <w:r>
        <w:t xml:space="preserve">Prepared For (Client)</w:t>
      </w:r>
    </w:p>
    <w:p>
      <w:pPr>
        <w:pStyle w:val="FirstParagraph"/>
      </w:pPr>
      <w:r>
        <w:rPr>
          <w:bCs/>
          <w:b/>
        </w:rPr>
        <w:t xml:space="preserve">Guangzhou Pearl River Commercial Development Group Co., Ltd.</w:t>
      </w:r>
    </w:p>
    <w:p>
      <w:pPr>
        <w:pStyle w:val="BodyText"/>
      </w:pPr>
      <w:r>
        <w:t xml:space="preserve">Attn: Mr. Zhang Minghua, Project Director</w:t>
      </w:r>
    </w:p>
    <w:p>
      <w:pPr>
        <w:pStyle w:val="BodyText"/>
      </w:pPr>
      <w:r>
        <w:t xml:space="preserve">Address: 200 Huacheng Avenue, Tianhe District, Guangzhou, Guangdong 510623, China</w:t>
      </w:r>
    </w:p>
    <w:p>
      <w:pPr>
        <w:pStyle w:val="BodyText"/>
      </w:pPr>
      <w:r>
        <w:t xml:space="preserve">Tel: +86-20-3891-2200</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Pearl River Mixed-Use Commercial Complex</w:t>
      </w:r>
    </w:p>
    <w:p>
      <w:pPr>
        <w:pStyle w:val="BodyText"/>
      </w:pPr>
      <w:r>
        <w:rPr>
          <w:bCs/>
          <w:b/>
        </w:rPr>
        <w:t xml:space="preserve">Project Type:</w:t>
      </w:r>
      <w:r>
        <w:t xml:space="preserve"> </w:t>
      </w:r>
      <w:r>
        <w:t xml:space="preserve">Commercial / Residential / Retail</w:t>
      </w:r>
    </w:p>
    <w:p>
      <w:pPr>
        <w:pStyle w:val="BodyText"/>
      </w:pPr>
      <w:r>
        <w:rPr>
          <w:bCs/>
          <w:b/>
        </w:rPr>
        <w:t xml:space="preserve">Total GFA:</w:t>
      </w:r>
      <w:r>
        <w:t xml:space="preserve"> </w:t>
      </w:r>
      <w:r>
        <w:t xml:space="preserve">128,000 sqm</w:t>
      </w:r>
    </w:p>
    <w:p>
      <w:pPr>
        <w:pStyle w:val="BodyText"/>
      </w:pPr>
      <w:r>
        <w:rPr>
          <w:bCs/>
          <w:b/>
        </w:rPr>
        <w:t xml:space="preserve">Number of Floors:</w:t>
      </w:r>
      <w:r>
        <w:t xml:space="preserve"> </w:t>
      </w:r>
      <w:r>
        <w:t xml:space="preserve">38 above ground, 3 below ground</w:t>
      </w:r>
    </w:p>
    <w:p>
      <w:pPr>
        <w:pStyle w:val="BodyText"/>
      </w:pPr>
      <w:r>
        <w:rPr>
          <w:bCs/>
          <w:b/>
        </w:rPr>
        <w:t xml:space="preserve">Planning Permit Status:</w:t>
      </w:r>
      <w:r>
        <w:t xml:space="preserve"> </w:t>
      </w:r>
      <w:r>
        <w:t xml:space="preserve">Pending (Guangzhou Urban Planning Bureau)</w:t>
      </w:r>
    </w:p>
    <w:bookmarkEnd w:id="24"/>
    <w:bookmarkStart w:id="25" w:name="scope-of-architectural-services"/>
    <w:p>
      <w:pPr>
        <w:pStyle w:val="Heading2"/>
      </w:pPr>
      <w:r>
        <w:t xml:space="preserve">1. Scope of Architectural Services</w:t>
      </w:r>
    </w:p>
    <w:p>
      <w:pPr>
        <w:pStyle w:val="FirstParagraph"/>
      </w:pPr>
      <w:r>
        <w:t xml:space="preserve">This Quotation Estimate is issued by Guangzhou Meridian Architectural Design Co., Ltd. (hereinafter referred to as the</w:t>
      </w:r>
      <w:r>
        <w:t xml:space="preserve"> </w:t>
      </w:r>
      <w:r>
        <w:t xml:space="preserve">Architect</w:t>
      </w:r>
      <w:r>
        <w:t xml:space="preserve">) to provide comprehensive architectural design and consulting services for the above-referenced project located in Guangzhou, China. The Architect shall deliver all design documentation in compliance with the national building codes of the People's Republic of China (GB Standards), the local urban planning regulations of Guangzhou Municipality, and the specific requirements set forth by the Guangzhou Urban Planning and Natural Resources Bureau. The scope encompasses conceptual design, schematic design, design development, construction documentation, and construction-phase architectural supervision throughout the project lifecycle in Guangzhou.</w:t>
      </w:r>
    </w:p>
    <w:bookmarkEnd w:id="25"/>
    <w:bookmarkStart w:id="26"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Conceptual Design Phase</w:t>
            </w:r>
          </w:p>
        </w:tc>
        <w:tc>
          <w:tcPr/>
          <w:p>
            <w:pPr>
              <w:pStyle w:val="Compact"/>
              <w:jc w:val="left"/>
            </w:pPr>
            <w:r>
              <w:t xml:space="preserve">Site analysis, massing studies, 3D visualization, and presentation to Guangzhou planning authorities</w:t>
            </w:r>
          </w:p>
        </w:tc>
        <w:tc>
          <w:tcPr/>
          <w:p>
            <w:pPr>
              <w:pStyle w:val="Compact"/>
              <w:jc w:val="left"/>
            </w:pPr>
            <w:r>
              <w:t xml:space="preserve">Lump Sum</w:t>
            </w:r>
          </w:p>
        </w:tc>
        <w:tc>
          <w:tcPr/>
          <w:p>
            <w:pPr>
              <w:pStyle w:val="Compact"/>
              <w:jc w:val="left"/>
            </w:pPr>
            <w:r>
              <w:t xml:space="preserve">¥ 1,850,000</w:t>
            </w:r>
          </w:p>
        </w:tc>
      </w:tr>
      <w:tr>
        <w:tc>
          <w:tcPr/>
          <w:p>
            <w:pPr>
              <w:pStyle w:val="Compact"/>
              <w:jc w:val="left"/>
            </w:pPr>
            <w:r>
              <w:t xml:space="preserve">2</w:t>
            </w:r>
          </w:p>
        </w:tc>
        <w:tc>
          <w:tcPr/>
          <w:p>
            <w:pPr>
              <w:pStyle w:val="Compact"/>
              <w:jc w:val="left"/>
            </w:pPr>
            <w:r>
              <w:t xml:space="preserve">Schematic Design Phase</w:t>
            </w:r>
          </w:p>
        </w:tc>
        <w:tc>
          <w:tcPr/>
          <w:p>
            <w:pPr>
              <w:pStyle w:val="Compact"/>
              <w:jc w:val="left"/>
            </w:pPr>
            <w:r>
              <w:t xml:space="preserve">Detailed floor plans, elevations, sections, and structural coordination for all 41 levels</w:t>
            </w:r>
          </w:p>
        </w:tc>
        <w:tc>
          <w:tcPr/>
          <w:p>
            <w:pPr>
              <w:pStyle w:val="Compact"/>
              <w:jc w:val="left"/>
            </w:pPr>
            <w:r>
              <w:t xml:space="preserve">Lump Sum</w:t>
            </w:r>
          </w:p>
        </w:tc>
        <w:tc>
          <w:tcPr/>
          <w:p>
            <w:pPr>
              <w:pStyle w:val="Compact"/>
              <w:jc w:val="left"/>
            </w:pPr>
            <w:r>
              <w:t xml:space="preserve">¥ 2,400,000</w:t>
            </w:r>
          </w:p>
        </w:tc>
      </w:tr>
      <w:tr>
        <w:tc>
          <w:tcPr/>
          <w:p>
            <w:pPr>
              <w:pStyle w:val="Compact"/>
              <w:jc w:val="left"/>
            </w:pPr>
            <w:r>
              <w:t xml:space="preserve">3</w:t>
            </w:r>
          </w:p>
        </w:tc>
        <w:tc>
          <w:tcPr/>
          <w:p>
            <w:pPr>
              <w:pStyle w:val="Compact"/>
              <w:jc w:val="left"/>
            </w:pPr>
            <w:r>
              <w:t xml:space="preserve">Design Development Phase</w:t>
            </w:r>
          </w:p>
        </w:tc>
        <w:tc>
          <w:tcPr/>
          <w:p>
            <w:pPr>
              <w:pStyle w:val="Compact"/>
              <w:jc w:val="left"/>
            </w:pPr>
            <w:r>
              <w:t xml:space="preserve">Material specifications, façade engineering, MEP coordination, and code compliance review per Guangzhou local standards</w:t>
            </w:r>
          </w:p>
        </w:tc>
        <w:tc>
          <w:tcPr/>
          <w:p>
            <w:pPr>
              <w:pStyle w:val="Compact"/>
              <w:jc w:val="left"/>
            </w:pPr>
            <w:r>
              <w:t xml:space="preserve">Lump Sum</w:t>
            </w:r>
          </w:p>
        </w:tc>
        <w:tc>
          <w:tcPr/>
          <w:p>
            <w:pPr>
              <w:pStyle w:val="Compact"/>
              <w:jc w:val="left"/>
            </w:pPr>
            <w:r>
              <w:t xml:space="preserve">¥ 3,200,000</w:t>
            </w:r>
          </w:p>
        </w:tc>
      </w:tr>
      <w:tr>
        <w:tc>
          <w:tcPr/>
          <w:p>
            <w:pPr>
              <w:pStyle w:val="Compact"/>
              <w:jc w:val="left"/>
            </w:pPr>
            <w:r>
              <w:t xml:space="preserve">4</w:t>
            </w:r>
          </w:p>
        </w:tc>
        <w:tc>
          <w:tcPr/>
          <w:p>
            <w:pPr>
              <w:pStyle w:val="Compact"/>
              <w:jc w:val="left"/>
            </w:pPr>
            <w:r>
              <w:t xml:space="preserve">Construction Documentation</w:t>
            </w:r>
          </w:p>
        </w:tc>
        <w:tc>
          <w:tcPr/>
          <w:p>
            <w:pPr>
              <w:pStyle w:val="Compact"/>
              <w:jc w:val="left"/>
            </w:pPr>
            <w:r>
              <w:t xml:space="preserve">Full set of construction drawings, specifications, and tender documents for submission to Guangzhou Construction Quality Supervision Station</w:t>
            </w:r>
          </w:p>
        </w:tc>
        <w:tc>
          <w:tcPr/>
          <w:p>
            <w:pPr>
              <w:pStyle w:val="Compact"/>
              <w:jc w:val="left"/>
            </w:pPr>
            <w:r>
              <w:t xml:space="preserve">Lump Sum</w:t>
            </w:r>
          </w:p>
        </w:tc>
        <w:tc>
          <w:tcPr/>
          <w:p>
            <w:pPr>
              <w:pStyle w:val="Compact"/>
              <w:jc w:val="left"/>
            </w:pPr>
            <w:r>
              <w:t xml:space="preserve">¥ 4,150,000</w:t>
            </w:r>
          </w:p>
        </w:tc>
      </w:tr>
      <w:tr>
        <w:tc>
          <w:tcPr/>
          <w:p>
            <w:pPr>
              <w:pStyle w:val="Compact"/>
              <w:jc w:val="left"/>
            </w:pPr>
            <w:r>
              <w:t xml:space="preserve">5</w:t>
            </w:r>
          </w:p>
        </w:tc>
        <w:tc>
          <w:tcPr/>
          <w:p>
            <w:pPr>
              <w:pStyle w:val="Compact"/>
              <w:jc w:val="left"/>
            </w:pPr>
            <w:r>
              <w:t xml:space="preserve">Construction Phase Supervision</w:t>
            </w:r>
          </w:p>
        </w:tc>
        <w:tc>
          <w:tcPr/>
          <w:p>
            <w:pPr>
              <w:pStyle w:val="Compact"/>
              <w:jc w:val="left"/>
            </w:pPr>
            <w:r>
              <w:t xml:space="preserve">On-site architectural supervision, design queries, and value engineering for 36 months in Guangzhou</w:t>
            </w:r>
          </w:p>
        </w:tc>
        <w:tc>
          <w:tcPr/>
          <w:p>
            <w:pPr>
              <w:pStyle w:val="Compact"/>
              <w:jc w:val="left"/>
            </w:pPr>
            <w:r>
              <w:t xml:space="preserve">Monthly (36 mo.)</w:t>
            </w:r>
          </w:p>
        </w:tc>
        <w:tc>
          <w:tcPr/>
          <w:p>
            <w:pPr>
              <w:pStyle w:val="Compact"/>
              <w:jc w:val="left"/>
            </w:pPr>
            <w:r>
              <w:t xml:space="preserve">¥ 2,880,000</w:t>
            </w:r>
          </w:p>
        </w:tc>
      </w:tr>
      <w:tr>
        <w:tc>
          <w:tcPr/>
          <w:p>
            <w:pPr>
              <w:pStyle w:val="Compact"/>
              <w:jc w:val="left"/>
            </w:pPr>
            <w:r>
              <w:t xml:space="preserve">6</w:t>
            </w:r>
          </w:p>
        </w:tc>
        <w:tc>
          <w:tcPr/>
          <w:p>
            <w:pPr>
              <w:pStyle w:val="Compact"/>
              <w:jc w:val="left"/>
            </w:pPr>
            <w:r>
              <w:t xml:space="preserve">Planning &amp; Permit Liaison</w:t>
            </w:r>
          </w:p>
        </w:tc>
        <w:tc>
          <w:tcPr/>
          <w:p>
            <w:pPr>
              <w:pStyle w:val="Compact"/>
              <w:jc w:val="left"/>
            </w:pPr>
            <w:r>
              <w:t xml:space="preserve">Coordination with Guangzhou Municipal Planning Bureau, fire safety review, and environmental impact assessment support</w:t>
            </w:r>
          </w:p>
        </w:tc>
        <w:tc>
          <w:tcPr/>
          <w:p>
            <w:pPr>
              <w:pStyle w:val="Compact"/>
              <w:jc w:val="left"/>
            </w:pPr>
            <w:r>
              <w:t xml:space="preserve">Lump Sum</w:t>
            </w:r>
          </w:p>
        </w:tc>
        <w:tc>
          <w:tcPr/>
          <w:p>
            <w:pPr>
              <w:pStyle w:val="Compact"/>
              <w:jc w:val="left"/>
            </w:pPr>
            <w:r>
              <w:t xml:space="preserve">¥ 680,000</w:t>
            </w:r>
          </w:p>
        </w:tc>
      </w:tr>
      <w:tr>
        <w:tc>
          <w:tcPr/>
          <w:p>
            <w:pPr>
              <w:pStyle w:val="Compact"/>
              <w:jc w:val="left"/>
            </w:pPr>
            <w:r>
              <w:t xml:space="preserve">7</w:t>
            </w:r>
          </w:p>
        </w:tc>
        <w:tc>
          <w:tcPr/>
          <w:p>
            <w:pPr>
              <w:pStyle w:val="Compact"/>
              <w:jc w:val="left"/>
            </w:pPr>
            <w:r>
              <w:t xml:space="preserve">Interior Design (Lobby &amp; Amenities)</w:t>
            </w:r>
          </w:p>
        </w:tc>
        <w:tc>
          <w:tcPr/>
          <w:p>
            <w:pPr>
              <w:pStyle w:val="Compact"/>
              <w:jc w:val="left"/>
            </w:pPr>
            <w:r>
              <w:t xml:space="preserve">Architect-led interior concept and detailed design for 12,000 sqm of public and amenity spaces</w:t>
            </w:r>
          </w:p>
        </w:tc>
        <w:tc>
          <w:tcPr/>
          <w:p>
            <w:pPr>
              <w:pStyle w:val="Compact"/>
              <w:jc w:val="left"/>
            </w:pPr>
            <w:r>
              <w:t xml:space="preserve">Lump Sum</w:t>
            </w:r>
          </w:p>
        </w:tc>
        <w:tc>
          <w:tcPr/>
          <w:p>
            <w:pPr>
              <w:pStyle w:val="Compact"/>
              <w:jc w:val="left"/>
            </w:pPr>
            <w:r>
              <w:t xml:space="preserve">¥ 1,940,000</w:t>
            </w:r>
          </w:p>
        </w:tc>
      </w:tr>
      <w:tr>
        <w:tc>
          <w:tcPr/>
          <w:p>
            <w:pPr>
              <w:pStyle w:val="Compact"/>
              <w:jc w:val="left"/>
            </w:pPr>
            <w:r>
              <w:t xml:space="preserve">8</w:t>
            </w:r>
          </w:p>
        </w:tc>
        <w:tc>
          <w:tcPr/>
          <w:p>
            <w:pPr>
              <w:pStyle w:val="Compact"/>
              <w:jc w:val="left"/>
            </w:pPr>
            <w:r>
              <w:t xml:space="preserve">Landscape &amp; External Works</w:t>
            </w:r>
          </w:p>
        </w:tc>
        <w:tc>
          <w:tcPr/>
          <w:p>
            <w:pPr>
              <w:pStyle w:val="Compact"/>
              <w:jc w:val="left"/>
            </w:pPr>
            <w:r>
              <w:t xml:space="preserve">Architectural landscape integration, plaza design, and streetscape coordination along Zhujiang New Town corridor</w:t>
            </w:r>
          </w:p>
        </w:tc>
        <w:tc>
          <w:tcPr/>
          <w:p>
            <w:pPr>
              <w:pStyle w:val="Compact"/>
              <w:jc w:val="left"/>
            </w:pPr>
            <w:r>
              <w:t xml:space="preserve">Lump Sum</w:t>
            </w:r>
          </w:p>
        </w:tc>
        <w:tc>
          <w:tcPr/>
          <w:p>
            <w:pPr>
              <w:pStyle w:val="Compact"/>
              <w:jc w:val="left"/>
            </w:pPr>
            <w:r>
              <w:t xml:space="preserve">¥ 1,100,000</w:t>
            </w:r>
          </w:p>
        </w:tc>
      </w:tr>
      <w:tr>
        <w:tc>
          <w:tcPr/>
          <w:p>
            <w:pPr>
              <w:pStyle w:val="Compact"/>
              <w:jc w:val="left"/>
            </w:pPr>
            <w:r>
              <w:t xml:space="preserve">9</w:t>
            </w:r>
          </w:p>
        </w:tc>
        <w:tc>
          <w:tcPr/>
          <w:p>
            <w:pPr>
              <w:pStyle w:val="Compact"/>
              <w:jc w:val="left"/>
            </w:pPr>
            <w:r>
              <w:t xml:space="preserve">BIM Modeling &amp; Digital Delivery</w:t>
            </w:r>
          </w:p>
        </w:tc>
        <w:tc>
          <w:tcPr/>
          <w:p>
            <w:pPr>
              <w:pStyle w:val="Compact"/>
              <w:jc w:val="left"/>
            </w:pPr>
            <w:r>
              <w:t xml:space="preserve">Full LOD 400 BIM model, clash detection, and digital twin handover per Guangzhou smart city data requirements</w:t>
            </w:r>
          </w:p>
        </w:tc>
        <w:tc>
          <w:tcPr/>
          <w:p>
            <w:pPr>
              <w:pStyle w:val="Compact"/>
              <w:jc w:val="left"/>
            </w:pPr>
            <w:r>
              <w:t xml:space="preserve">Lump Sum</w:t>
            </w:r>
          </w:p>
        </w:tc>
        <w:tc>
          <w:tcPr/>
          <w:p>
            <w:pPr>
              <w:pStyle w:val="Compact"/>
              <w:jc w:val="left"/>
            </w:pPr>
            <w:r>
              <w:t xml:space="preserve">¥ 960,000</w:t>
            </w:r>
          </w:p>
        </w:tc>
      </w:tr>
      <w:tr>
        <w:tc>
          <w:tcPr/>
          <w:p>
            <w:pPr>
              <w:pStyle w:val="Compact"/>
              <w:jc w:val="left"/>
            </w:pPr>
            <w:r>
              <w:t xml:space="preserve">10</w:t>
            </w:r>
          </w:p>
        </w:tc>
        <w:tc>
          <w:tcPr/>
          <w:p>
            <w:pPr>
              <w:pStyle w:val="Compact"/>
              <w:jc w:val="left"/>
            </w:pPr>
            <w:r>
              <w:t xml:space="preserve">Contingency &amp; Revisions</w:t>
            </w:r>
          </w:p>
        </w:tc>
        <w:tc>
          <w:tcPr/>
          <w:p>
            <w:pPr>
              <w:pStyle w:val="Compact"/>
              <w:jc w:val="left"/>
            </w:pPr>
            <w:r>
              <w:t xml:space="preserve">Up to three (3) major revision cycles per phase as directed by the Client or required by Guangzhou regulatory authorities</w:t>
            </w:r>
          </w:p>
        </w:tc>
        <w:tc>
          <w:tcPr/>
          <w:p>
            <w:pPr>
              <w:pStyle w:val="Compact"/>
              <w:jc w:val="left"/>
            </w:pPr>
            <w:r>
              <w:t xml:space="preserve">Lump Sum</w:t>
            </w:r>
          </w:p>
        </w:tc>
        <w:tc>
          <w:tcPr/>
          <w:p>
            <w:pPr>
              <w:pStyle w:val="Compact"/>
              <w:jc w:val="left"/>
            </w:pPr>
            <w:r>
              <w:t xml:space="preserve">¥ 720,000</w:t>
            </w:r>
          </w:p>
        </w:tc>
      </w:tr>
      <w:tr>
        <w:tc>
          <w:tcPr>
            <w:gridSpan w:val="4"/>
          </w:tcPr>
          <w:p>
            <w:pPr>
              <w:pStyle w:val="Compact"/>
              <w:jc w:val="right"/>
            </w:pPr>
            <w:r>
              <w:t xml:space="preserve">TOTAL QUOTATION ESTIMATE (Excl. VAT)</w:t>
            </w:r>
          </w:p>
        </w:tc>
        <w:tc>
          <w:tcPr/>
          <w:p>
            <w:pPr>
              <w:pStyle w:val="Compact"/>
              <w:jc w:val="left"/>
            </w:pPr>
            <w:r>
              <w:t xml:space="preserve">¥ 19,880,000</w:t>
            </w:r>
          </w:p>
        </w:tc>
      </w:tr>
      <w:tr>
        <w:tc>
          <w:tcPr>
            <w:gridSpan w:val="4"/>
          </w:tcPr>
          <w:p>
            <w:pPr>
              <w:pStyle w:val="Compact"/>
              <w:jc w:val="right"/>
            </w:pPr>
            <w:r>
              <w:t xml:space="preserve">VAT (6% – Architectural Design Services, PRC)</w:t>
            </w:r>
          </w:p>
        </w:tc>
        <w:tc>
          <w:tcPr/>
          <w:p>
            <w:pPr>
              <w:pStyle w:val="Compact"/>
              <w:jc w:val="left"/>
            </w:pPr>
            <w:r>
              <w:t xml:space="preserve">¥ 1,192,800</w:t>
            </w:r>
          </w:p>
        </w:tc>
      </w:tr>
      <w:tr>
        <w:tc>
          <w:tcPr>
            <w:gridSpan w:val="4"/>
          </w:tcPr>
          <w:p>
            <w:pPr>
              <w:pStyle w:val="Compact"/>
              <w:jc w:val="right"/>
            </w:pPr>
            <w:r>
              <w:t xml:space="preserve">GRAND TOTAL (Incl. VAT)</w:t>
            </w:r>
          </w:p>
        </w:tc>
        <w:tc>
          <w:tcPr/>
          <w:p>
            <w:pPr>
              <w:pStyle w:val="Compact"/>
              <w:jc w:val="left"/>
            </w:pPr>
            <w:r>
              <w:t xml:space="preserve">¥ 21,072,800</w:t>
            </w:r>
          </w:p>
        </w:tc>
      </w:tr>
    </w:tbl>
    <w:bookmarkEnd w:id="26"/>
    <w:bookmarkStart w:id="27" w:name="payment-schedule"/>
    <w:p>
      <w:pPr>
        <w:pStyle w:val="Heading2"/>
      </w:pPr>
      <w:r>
        <w:t xml:space="preserve">3.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r>
      <w:tr>
        <w:tc>
          <w:tcPr/>
          <w:p>
            <w:pPr>
              <w:pStyle w:val="Compact"/>
              <w:jc w:val="left"/>
            </w:pPr>
            <w:r>
              <w:t xml:space="preserve">Contract Signing &amp; Mobilization</w:t>
            </w:r>
          </w:p>
        </w:tc>
        <w:tc>
          <w:tcPr/>
          <w:p>
            <w:pPr>
              <w:pStyle w:val="Compact"/>
              <w:jc w:val="left"/>
            </w:pPr>
            <w:r>
              <w:t xml:space="preserve">15%</w:t>
            </w:r>
          </w:p>
        </w:tc>
        <w:tc>
          <w:tcPr/>
          <w:p>
            <w:pPr>
              <w:pStyle w:val="Compact"/>
              <w:jc w:val="left"/>
            </w:pPr>
            <w:r>
              <w:t xml:space="preserve">¥ 3,160,920</w:t>
            </w:r>
          </w:p>
        </w:tc>
      </w:tr>
      <w:tr>
        <w:tc>
          <w:tcPr/>
          <w:p>
            <w:pPr>
              <w:pStyle w:val="Compact"/>
              <w:jc w:val="left"/>
            </w:pPr>
            <w:r>
              <w:t xml:space="preserve">Conceptual Design Approval</w:t>
            </w:r>
          </w:p>
        </w:tc>
        <w:tc>
          <w:tcPr/>
          <w:p>
            <w:pPr>
              <w:pStyle w:val="Compact"/>
              <w:jc w:val="left"/>
            </w:pPr>
            <w:r>
              <w:t xml:space="preserve">15%</w:t>
            </w:r>
          </w:p>
        </w:tc>
        <w:tc>
          <w:tcPr/>
          <w:p>
            <w:pPr>
              <w:pStyle w:val="Compact"/>
              <w:jc w:val="left"/>
            </w:pPr>
            <w:r>
              <w:t xml:space="preserve">¥ 3,160,920</w:t>
            </w:r>
          </w:p>
        </w:tc>
      </w:tr>
      <w:tr>
        <w:tc>
          <w:tcPr/>
          <w:p>
            <w:pPr>
              <w:pStyle w:val="Compact"/>
              <w:jc w:val="left"/>
            </w:pPr>
            <w:r>
              <w:t xml:space="preserve">Schematic Design Approval</w:t>
            </w:r>
          </w:p>
        </w:tc>
        <w:tc>
          <w:tcPr/>
          <w:p>
            <w:pPr>
              <w:pStyle w:val="Compact"/>
              <w:jc w:val="left"/>
            </w:pPr>
            <w:r>
              <w:t xml:space="preserve">20%</w:t>
            </w:r>
          </w:p>
        </w:tc>
        <w:tc>
          <w:tcPr/>
          <w:p>
            <w:pPr>
              <w:pStyle w:val="Compact"/>
              <w:jc w:val="left"/>
            </w:pPr>
            <w:r>
              <w:t xml:space="preserve">¥ 4,214,560</w:t>
            </w:r>
          </w:p>
        </w:tc>
      </w:tr>
      <w:tr>
        <w:tc>
          <w:tcPr/>
          <w:p>
            <w:pPr>
              <w:pStyle w:val="Compact"/>
              <w:jc w:val="left"/>
            </w:pPr>
            <w:r>
              <w:t xml:space="preserve">Design Development Approval</w:t>
            </w:r>
          </w:p>
        </w:tc>
        <w:tc>
          <w:tcPr/>
          <w:p>
            <w:pPr>
              <w:pStyle w:val="Compact"/>
              <w:jc w:val="left"/>
            </w:pPr>
            <w:r>
              <w:t xml:space="preserve">20%</w:t>
            </w:r>
          </w:p>
        </w:tc>
        <w:tc>
          <w:tcPr/>
          <w:p>
            <w:pPr>
              <w:pStyle w:val="Compact"/>
              <w:jc w:val="left"/>
            </w:pPr>
            <w:r>
              <w:t xml:space="preserve">¥ 4,214,560</w:t>
            </w:r>
          </w:p>
        </w:tc>
      </w:tr>
      <w:tr>
        <w:tc>
          <w:tcPr/>
          <w:p>
            <w:pPr>
              <w:pStyle w:val="Compact"/>
              <w:jc w:val="left"/>
            </w:pPr>
            <w:r>
              <w:t xml:space="preserve">Construction Documentation Issued</w:t>
            </w:r>
          </w:p>
        </w:tc>
        <w:tc>
          <w:tcPr/>
          <w:p>
            <w:pPr>
              <w:pStyle w:val="Compact"/>
              <w:jc w:val="left"/>
            </w:pPr>
            <w:r>
              <w:t xml:space="preserve">20%</w:t>
            </w:r>
          </w:p>
        </w:tc>
        <w:tc>
          <w:tcPr/>
          <w:p>
            <w:pPr>
              <w:pStyle w:val="Compact"/>
              <w:jc w:val="left"/>
            </w:pPr>
            <w:r>
              <w:t xml:space="preserve">¥ 4,214,560</w:t>
            </w:r>
          </w:p>
        </w:tc>
      </w:tr>
      <w:tr>
        <w:tc>
          <w:tcPr/>
          <w:p>
            <w:pPr>
              <w:pStyle w:val="Compact"/>
              <w:jc w:val="left"/>
            </w:pPr>
            <w:r>
              <w:t xml:space="preserve">Construction Phase Completion</w:t>
            </w:r>
          </w:p>
        </w:tc>
        <w:tc>
          <w:tcPr/>
          <w:p>
            <w:pPr>
              <w:pStyle w:val="Compact"/>
              <w:jc w:val="left"/>
            </w:pPr>
            <w:r>
              <w:t xml:space="preserve">10%</w:t>
            </w:r>
          </w:p>
        </w:tc>
        <w:tc>
          <w:tcPr/>
          <w:p>
            <w:pPr>
              <w:pStyle w:val="Compact"/>
              <w:jc w:val="left"/>
            </w:pPr>
            <w:r>
              <w:t xml:space="preserve">¥ 2,107,280</w:t>
            </w:r>
          </w:p>
        </w:tc>
      </w:tr>
    </w:tbl>
    <w:bookmarkEnd w:id="27"/>
    <w:bookmarkStart w:id="28" w:name="X06f751c0fef37426aad28df54ec1acd620508e5"/>
    <w:p>
      <w:pPr>
        <w:pStyle w:val="Heading2"/>
      </w:pPr>
      <w:r>
        <w:t xml:space="preserve">4. Terms &amp; Conditions of This Quotation Estimate</w:t>
      </w:r>
    </w:p>
    <w:p>
      <w:pPr>
        <w:numPr>
          <w:ilvl w:val="0"/>
          <w:numId w:val="1001"/>
        </w:numPr>
        <w:pStyle w:val="Compact"/>
      </w:pPr>
      <w:r>
        <w:t xml:space="preserve">This Quotation Estimate is valid for a period of thirty (30) calendar days from the date of issue. After the expiry date, the Architect reserves the right to revise pricing due to market fluctuations in Guangzhou's construction and design sector.</w:t>
      </w:r>
    </w:p>
    <w:p>
      <w:pPr>
        <w:numPr>
          <w:ilvl w:val="0"/>
          <w:numId w:val="1001"/>
        </w:numPr>
        <w:pStyle w:val="Compact"/>
      </w:pPr>
      <w:r>
        <w:t xml:space="preserve">All fees quoted are in Chinese Yuan (CNY) and are inclusive of the Architect's professional fees, staff costs, software licensing, and local travel within Guangzhou Municipality. Travel to project sites outside Guangzhou (e.g., Shenzhen, Foshan) shall be billed at cost.</w:t>
      </w:r>
    </w:p>
    <w:p>
      <w:pPr>
        <w:numPr>
          <w:ilvl w:val="0"/>
          <w:numId w:val="1001"/>
        </w:numPr>
        <w:pStyle w:val="Compact"/>
      </w:pPr>
      <w:r>
        <w:t xml:space="preserve">The Architect shall comply with all applicable laws and regulations of the People's Republic of China, including the</w:t>
      </w:r>
      <w:r>
        <w:t xml:space="preserve"> </w:t>
      </w:r>
      <w:r>
        <w:rPr>
          <w:iCs/>
          <w:i/>
        </w:rPr>
        <w:t xml:space="preserve">Construction Law of the PRC</w:t>
      </w:r>
      <w:r>
        <w:t xml:space="preserve">, the</w:t>
      </w:r>
      <w:r>
        <w:t xml:space="preserve"> </w:t>
      </w:r>
      <w:r>
        <w:rPr>
          <w:iCs/>
          <w:i/>
        </w:rPr>
        <w:t xml:space="preserve">Regulations on the Management of Construction Engineering Design</w:t>
      </w:r>
      <w:r>
        <w:t xml:space="preserve">, and the specific urban planning directives issued by the Guangzhou Municipal Government.</w:t>
      </w:r>
    </w:p>
    <w:p>
      <w:pPr>
        <w:numPr>
          <w:ilvl w:val="0"/>
          <w:numId w:val="1001"/>
        </w:numPr>
        <w:pStyle w:val="Compact"/>
      </w:pPr>
      <w:r>
        <w:t xml:space="preserve">All design deliverables shall be submitted in both hard copy (A1/A3) and digital format (DWG, PDF, IFC/BIM) to the Client and to the relevant Guangzhou regulatory bodies as required.</w:t>
      </w:r>
    </w:p>
    <w:p>
      <w:pPr>
        <w:numPr>
          <w:ilvl w:val="0"/>
          <w:numId w:val="1001"/>
        </w:numPr>
        <w:pStyle w:val="Compact"/>
      </w:pPr>
      <w:r>
        <w:t xml:space="preserve">The Architect warrants that all design work shall be original and free from intellectual property infringement. The Architect holds a valid Grade-A Architectural Design Qualification Certificate issued by the Ministry of Housing and Urban-Rural Development of China.</w:t>
      </w:r>
    </w:p>
    <w:p>
      <w:pPr>
        <w:numPr>
          <w:ilvl w:val="0"/>
          <w:numId w:val="1001"/>
        </w:numPr>
        <w:pStyle w:val="Compact"/>
      </w:pPr>
      <w:r>
        <w:t xml:space="preserve">Any variation in scope exceeding 10% of the original Quotation Estimate shall be subject to a supplementary agreement signed by both parties.</w:t>
      </w:r>
    </w:p>
    <w:p>
      <w:pPr>
        <w:numPr>
          <w:ilvl w:val="0"/>
          <w:numId w:val="1001"/>
        </w:numPr>
        <w:pStyle w:val="Compact"/>
      </w:pPr>
      <w:r>
        <w:t xml:space="preserve">Disputes arising from this Quotation Estimate shall be resolved through arbitration at the China International Economic and Trade Arbitration Commission (CIETAC), Guangzhou Sub-Commission, in accordance with its then-current rules.</w:t>
      </w:r>
    </w:p>
    <w:p>
      <w:pPr>
        <w:numPr>
          <w:ilvl w:val="0"/>
          <w:numId w:val="1001"/>
        </w:numPr>
        <w:pStyle w:val="Compact"/>
      </w:pPr>
      <w:r>
        <w:t xml:space="preserve">This Quotation Estimate does not constitute a binding contract until a formal Architectural Design Contract is executed by both parties in accordance with PRC contract law.</w:t>
      </w:r>
    </w:p>
    <w:bookmarkEnd w:id="28"/>
    <w:bookmarkStart w:id="29" w:name="acceptance-authorization"/>
    <w:p>
      <w:pPr>
        <w:pStyle w:val="Heading2"/>
      </w:pPr>
      <w:r>
        <w:t xml:space="preserve">5. Acceptance &amp; Authorization</w:t>
      </w:r>
    </w:p>
    <w:p>
      <w:pPr>
        <w:pStyle w:val="FirstParagraph"/>
      </w:pPr>
      <w:r>
        <w:t xml:space="preserve">By signing below, the Client acknowledges receipt of this Quotation Estimate for Architectural Services in Guangzhou, China, and confirms acceptance of the fees, scope, and terms outlined herein. The Architect confirms availability to commence work within fourteen (14) days of contract execution.</w:t>
      </w:r>
    </w:p>
    <w:p>
      <w:pPr>
        <w:pStyle w:val="BodyText"/>
      </w:pPr>
      <w:r>
        <w:rPr>
          <w:bCs/>
          <w:b/>
        </w:rPr>
        <w:t xml:space="preserve">For and on behalf of the Architect:</w:t>
      </w:r>
    </w:p>
    <w:p>
      <w:pPr>
        <w:pStyle w:val="BodyText"/>
      </w:pPr>
      <w:r>
        <w:t xml:space="preserve">Guangzhou Meridian Architectural Design Co., Ltd.</w:t>
      </w:r>
    </w:p>
    <w:p>
      <w:pPr>
        <w:pStyle w:val="BodyText"/>
      </w:pPr>
      <w:r>
        <w:t xml:space="preserve">Li Wei, Registered Architect</w:t>
      </w:r>
      <w:r>
        <w:br/>
      </w:r>
      <w:r>
        <w:t xml:space="preserve">Name / Signature / Date / Company Seal</w:t>
      </w:r>
    </w:p>
    <w:p>
      <w:pPr>
        <w:pStyle w:val="BodyText"/>
      </w:pPr>
      <w:r>
        <w:rPr>
          <w:bCs/>
          <w:b/>
        </w:rPr>
        <w:t xml:space="preserve">For and on behalf of the Client:</w:t>
      </w:r>
    </w:p>
    <w:p>
      <w:pPr>
        <w:pStyle w:val="BodyText"/>
      </w:pPr>
      <w:r>
        <w:t xml:space="preserve">Guangzhou Pearl River Commercial Development Group Co., Ltd.</w:t>
      </w:r>
    </w:p>
    <w:p>
      <w:pPr>
        <w:pStyle w:val="BodyText"/>
      </w:pPr>
      <w:r>
        <w:t xml:space="preserve">Zhang Minghua, Project Director</w:t>
      </w:r>
      <w:r>
        <w:br/>
      </w:r>
      <w:r>
        <w:t xml:space="preserve">Name / Signature / Date / Company Seal</w:t>
      </w:r>
    </w:p>
    <w:p>
      <w:pPr>
        <w:pStyle w:val="BodyText"/>
      </w:pPr>
      <w:r>
        <w:t xml:space="preserve">Quotation No. GZ-ARCH-2025-0417 | Page 1 of 1 | Issued in Guangzhou, Guangdong, PRC</w:t>
      </w:r>
    </w:p>
    <w:p>
      <w:pPr>
        <w:pStyle w:val="BodyText"/>
      </w:pPr>
      <w:r>
        <w:t xml:space="preserve">This document is the property of Guangzhou Meridian Architectural Design Co., Ltd. Unauthorized reproduction is prohibited under PRC copyright law.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Guangzhou, China</dc:title>
  <dc:creator/>
  <dc:language>en</dc:language>
  <cp:keywords/>
  <dcterms:created xsi:type="dcterms:W3CDTF">2026-10-10T02:49:02Z</dcterms:created>
  <dcterms:modified xsi:type="dcterms:W3CDTF">2026-10-10T02:49:02Z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