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estudio-arquitectónico-andino-s.a.s."/>
    <w:p>
      <w:pPr>
        <w:pStyle w:val="Heading1"/>
      </w:pPr>
      <w:r>
        <w:t xml:space="preserve">Estudio Arquitectónico Andino S.A.S.</w:t>
      </w:r>
    </w:p>
    <w:p>
      <w:pPr>
        <w:pStyle w:val="FirstParagraph"/>
      </w:pPr>
      <w:r>
        <w:t xml:space="preserve">Cra. 15 # 93-45, Of. 601, Zona Rosa</w:t>
      </w:r>
    </w:p>
    <w:p>
      <w:pPr>
        <w:pStyle w:val="BodyText"/>
      </w:pPr>
      <w:r>
        <w:t xml:space="preserve">Bogotá D.C., Colombia</w:t>
      </w:r>
    </w:p>
    <w:p>
      <w:pPr>
        <w:pStyle w:val="BodyText"/>
      </w:pPr>
      <w:r>
        <w:t xml:space="preserve">Tel: +57 (601) 555 8742 | Email: info@arquitectoandino.co</w:t>
      </w:r>
    </w:p>
    <w:p>
      <w:pPr>
        <w:pStyle w:val="BodyText"/>
      </w:pPr>
      <w:r>
        <w:t xml:space="preserve">NIT: 901.234.567-8 | Cámara de Comercio de Bogotá: 520000123456</w:t>
      </w:r>
    </w:p>
    <w:bookmarkEnd w:id="20"/>
    <w:p>
      <w:pPr>
        <w:pStyle w:val="BodyText"/>
      </w:pPr>
      <w:r>
        <w:t xml:space="preserve">Quotation Estimate</w:t>
      </w:r>
    </w:p>
    <w:p>
      <w:pPr>
        <w:pStyle w:val="BodyText"/>
      </w:pPr>
      <w:r>
        <w:rPr>
          <w:bCs/>
          <w:b/>
        </w:rPr>
        <w:t xml:space="preserve">Quotation No.:</w:t>
      </w:r>
      <w:r>
        <w:t xml:space="preserve"> </w:t>
      </w:r>
      <w:r>
        <w:t xml:space="preserve">QE-2025-0847</w:t>
      </w:r>
    </w:p>
    <w:p>
      <w:pPr>
        <w:pStyle w:val="BodyText"/>
      </w:pPr>
      <w:r>
        <w:rPr>
          <w:bCs/>
          <w:b/>
        </w:rPr>
        <w:t xml:space="preserve">Date:</w:t>
      </w:r>
      <w:r>
        <w:t xml:space="preserve"> </w:t>
      </w:r>
      <w:r>
        <w:t xml:space="preserve">June 15, 2025</w:t>
      </w:r>
    </w:p>
    <w:p>
      <w:pPr>
        <w:pStyle w:val="BodyText"/>
      </w:pPr>
      <w:r>
        <w:rPr>
          <w:bCs/>
          <w:b/>
        </w:rPr>
        <w:t xml:space="preserve">Valid Until:</w:t>
      </w:r>
      <w:r>
        <w:t xml:space="preserve"> </w:t>
      </w:r>
      <w:r>
        <w:t xml:space="preserve">July 15, 2025</w:t>
      </w:r>
    </w:p>
    <w:bookmarkStart w:id="21" w:name="quotation-estimate"/>
    <w:p>
      <w:pPr>
        <w:pStyle w:val="Heading2"/>
      </w:pPr>
      <w:r>
        <w:t xml:space="preserve">Quotation Estimate</w:t>
      </w:r>
    </w:p>
    <w:p>
      <w:pPr>
        <w:pStyle w:val="FirstParagraph"/>
      </w:pPr>
      <w:r>
        <w:t xml:space="preserve">Professional Architect Services – Residential &amp; Commercial Design – Colombia Bogotá</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Constructora Los Andes S.A.S.</w:t>
      </w:r>
    </w:p>
    <w:p>
      <w:pPr>
        <w:pStyle w:val="BodyText"/>
      </w:pPr>
      <w:r>
        <w:rPr>
          <w:bCs/>
          <w:b/>
        </w:rPr>
        <w:t xml:space="preserve">Contact:</w:t>
      </w:r>
      <w:r>
        <w:t xml:space="preserve"> </w:t>
      </w:r>
      <w:r>
        <w:t xml:space="preserve">Ing. María Fernanda Restrepo</w:t>
      </w:r>
    </w:p>
    <w:p>
      <w:pPr>
        <w:pStyle w:val="BodyText"/>
      </w:pPr>
      <w:r>
        <w:rPr>
          <w:bCs/>
          <w:b/>
        </w:rPr>
        <w:t xml:space="preserve">Address:</w:t>
      </w:r>
      <w:r>
        <w:t xml:space="preserve"> </w:t>
      </w:r>
      <w:r>
        <w:t xml:space="preserve">Av. El Poblado # 45-12, Medellín</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mrestrepo@constructoralosandes.com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Mixed-Use Residential Complex</w:t>
      </w:r>
    </w:p>
    <w:p>
      <w:pPr>
        <w:pStyle w:val="BodyText"/>
      </w:pPr>
      <w:r>
        <w:rPr>
          <w:bCs/>
          <w:b/>
        </w:rPr>
        <w:t xml:space="preserve">Location:</w:t>
      </w:r>
      <w:r>
        <w:t xml:space="preserve"> </w:t>
      </w:r>
      <w:r>
        <w:t xml:space="preserve">Chapinero, Bogotá D.C., Colombia</w:t>
      </w:r>
    </w:p>
    <w:p>
      <w:pPr>
        <w:pStyle w:val="BodyText"/>
      </w:pPr>
      <w:r>
        <w:rPr>
          <w:bCs/>
          <w:b/>
        </w:rPr>
        <w:t xml:space="preserve">Area:</w:t>
      </w:r>
      <w:r>
        <w:t xml:space="preserve"> </w:t>
      </w:r>
      <w:r>
        <w:t xml:space="preserve">2,400 m² (48 units + commercial ground floor)</w:t>
      </w:r>
    </w:p>
    <w:p>
      <w:pPr>
        <w:pStyle w:val="BodyText"/>
      </w:pPr>
      <w:r>
        <w:rPr>
          <w:bCs/>
          <w:b/>
        </w:rPr>
        <w:t xml:space="preserve">Regulatory Zone:</w:t>
      </w:r>
      <w:r>
        <w:t xml:space="preserve"> </w:t>
      </w:r>
      <w:r>
        <w:t xml:space="preserve">POT Bogotá – Zona Residencial Media Densidad</w:t>
      </w:r>
    </w:p>
    <w:p>
      <w:pPr>
        <w:pStyle w:val="BodyText"/>
      </w:pPr>
      <w:r>
        <w:rPr>
          <w:bCs/>
          <w:b/>
        </w:rPr>
        <w:t xml:space="preserve">Estimated Timeline:</w:t>
      </w:r>
      <w:r>
        <w:t xml:space="preserve"> </w:t>
      </w:r>
      <w:r>
        <w:t xml:space="preserve">14 months</w:t>
      </w:r>
    </w:p>
    <w:bookmarkEnd w:id="23"/>
    <w:bookmarkStart w:id="24" w:name="scope-of-architect-services"/>
    <w:p>
      <w:pPr>
        <w:pStyle w:val="Heading3"/>
      </w:pPr>
      <w:r>
        <w:t xml:space="preserve">Scope of Architect Services</w:t>
      </w:r>
    </w:p>
    <w:p>
      <w:pPr>
        <w:pStyle w:val="FirstParagraph"/>
      </w:pPr>
      <w:r>
        <w:t xml:space="preserve">This Quotation Estimate is issued by Estudio Arquitectónico Andino S.A.S., a registered Architect firm operating under the professional regulations of the Cámara de Comercio de Bogotá and the Colombian Ministry of Housing, City and Territory (Ministerio de Vivienda, Ciudad y Territorio). The following Quotation Estimate covers the full spectrum of Architect services required for the design, development, and regulatory approval of the mixed-use residential complex located in the Chapinero district of Colombia Bogotá. All deliverables comply with the Plan de Ordenamiento Territorial (POT) of Bogotá, the Colombian Construction Code (Código de Construcción), and the applicable norms of the Secretaría de Planeación Distrital.</w:t>
      </w:r>
    </w:p>
    <w:bookmarkEnd w:id="24"/>
    <w:bookmarkStart w:id="25" w:name="quotation-estimate-line-items"/>
    <w:p>
      <w:pPr>
        <w:pStyle w:val="Heading3"/>
      </w:pPr>
      <w:r>
        <w:t xml:space="preserve">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Pre-design feasibility study and site analysis in Colombia Bogotá, including topographic survey review, soil condition assessment, and compliance verification with POT zoning regulations for Chapinero.</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Conceptual Architect design development: massing studies, volumetric proposals, orientation analysis, and preliminary architectural drawings (plans, elevations, sections) for all 48 residential units and commercial ground floor.</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Detailed Architect design and construction documentation: complete set of architectural drawings at 1:50 and 1:100 scales, material specifications, door and window schedules, and interior finish schedules compliant with Colombian building standards.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Regulatory submission and permitting support before the Secretaría de Planeación Distrital de Bogotá, including preparation of the Licencia de Construcción dossier, response to official observations, and coordination with the local Architect review board.</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Architectural supervision during construction phase: bi-weekly site visits in Colombia Bogotá, progress reports, design clarification memos, and coordination with structural and MEP engineering teams.</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8,200,000</w:t>
            </w:r>
          </w:p>
        </w:tc>
        <w:tc>
          <w:tcPr/>
          <w:p>
            <w:pPr>
              <w:pStyle w:val="Compact"/>
              <w:jc w:val="left"/>
            </w:pPr>
            <w:r>
              <w:t xml:space="preserve">82,000,000</w:t>
            </w:r>
          </w:p>
        </w:tc>
      </w:tr>
      <w:tr>
        <w:tc>
          <w:tcPr/>
          <w:p>
            <w:pPr>
              <w:pStyle w:val="Compact"/>
              <w:jc w:val="left"/>
            </w:pPr>
            <w:r>
              <w:t xml:space="preserve">6</w:t>
            </w:r>
          </w:p>
        </w:tc>
        <w:tc>
          <w:tcPr/>
          <w:p>
            <w:pPr>
              <w:pStyle w:val="Compact"/>
              <w:jc w:val="left"/>
            </w:pPr>
            <w:r>
              <w:t xml:space="preserve">3D visualization and rendering package: exterior renders, interior renders for 6 representative unit types, and a 90-second animated walkthrough for marketing purposes.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7</w:t>
            </w:r>
          </w:p>
        </w:tc>
        <w:tc>
          <w:tcPr/>
          <w:p>
            <w:pPr>
              <w:pStyle w:val="Compact"/>
              <w:jc w:val="left"/>
            </w:pPr>
            <w:r>
              <w:t xml:space="preserve">Sustainability and energy efficiency consulting: thermal simulation, natural ventilation strategy, rainwater harvesting design, and compliance with the Colombian energy efficiency standard NTC 5781 for buildings in Bogotá.</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8</w:t>
            </w:r>
          </w:p>
        </w:tc>
        <w:tc>
          <w:tcPr/>
          <w:p>
            <w:pPr>
              <w:pStyle w:val="Compact"/>
              <w:jc w:val="left"/>
            </w:pPr>
            <w:r>
              <w:t xml:space="preserve">Final as-built documentation and handover package: updated architectural drawings reflecting all approved modifications, operation and maintenance manuals, and warranty documentation for the client.</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r>
      <w:tr>
        <w:tc>
          <w:tcPr>
            <w:gridSpan w:val="5"/>
          </w:tcPr>
          <w:p>
            <w:pPr>
              <w:pStyle w:val="Compact"/>
              <w:jc w:val="right"/>
            </w:pPr>
            <w:r>
              <w:t xml:space="preserve">SUBTOTAL</w:t>
            </w:r>
          </w:p>
        </w:tc>
        <w:tc>
          <w:tcPr/>
          <w:p>
            <w:pPr>
              <w:pStyle w:val="Compact"/>
              <w:jc w:val="left"/>
            </w:pPr>
            <w:r>
              <w:t xml:space="preserve">242,000,000</w:t>
            </w:r>
          </w:p>
        </w:tc>
      </w:tr>
      <w:tr>
        <w:tc>
          <w:tcPr>
            <w:gridSpan w:val="5"/>
          </w:tcPr>
          <w:p>
            <w:pPr>
              <w:pStyle w:val="Compact"/>
              <w:jc w:val="right"/>
            </w:pPr>
            <w:r>
              <w:t xml:space="preserve">IVA (19% – Colombian Value Added Tax)</w:t>
            </w:r>
          </w:p>
        </w:tc>
        <w:tc>
          <w:tcPr/>
          <w:p>
            <w:pPr>
              <w:pStyle w:val="Compact"/>
              <w:jc w:val="left"/>
            </w:pPr>
            <w:r>
              <w:t xml:space="preserve">45,980,000</w:t>
            </w:r>
          </w:p>
        </w:tc>
      </w:tr>
      <w:tr>
        <w:tc>
          <w:tcPr>
            <w:gridSpan w:val="5"/>
          </w:tcPr>
          <w:p>
            <w:pPr>
              <w:pStyle w:val="Compact"/>
              <w:jc w:val="right"/>
            </w:pPr>
            <w:r>
              <w:t xml:space="preserve">TOTAL QUOTATION ESTIMATE (COP)</w:t>
            </w:r>
          </w:p>
        </w:tc>
        <w:tc>
          <w:tcPr/>
          <w:p>
            <w:pPr>
              <w:pStyle w:val="Compact"/>
              <w:jc w:val="left"/>
            </w:pPr>
            <w:r>
              <w:t xml:space="preserve">287,980,000</w:t>
            </w:r>
          </w:p>
        </w:tc>
      </w:tr>
    </w:tbl>
    <w:bookmarkEnd w:id="25"/>
    <w:bookmarkStart w:id="26" w:name="payment-schedule"/>
    <w:p>
      <w:pPr>
        <w:pStyle w:val="Heading3"/>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(COP)</w:t>
            </w:r>
          </w:p>
        </w:tc>
        <w:tc>
          <w:tcPr/>
          <w:p>
            <w:pPr>
              <w:pStyle w:val="Compact"/>
              <w:jc w:val="left"/>
            </w:pPr>
            <w:r>
              <w:t xml:space="preserve">Trigger</w:t>
            </w:r>
          </w:p>
        </w:tc>
      </w:tr>
      <w:tr>
        <w:tc>
          <w:tcPr/>
          <w:p>
            <w:pPr>
              <w:pStyle w:val="Compact"/>
              <w:jc w:val="left"/>
            </w:pPr>
            <w:r>
              <w:t xml:space="preserve">Contract signing</w:t>
            </w:r>
          </w:p>
        </w:tc>
        <w:tc>
          <w:tcPr/>
          <w:p>
            <w:pPr>
              <w:pStyle w:val="Compact"/>
              <w:jc w:val="left"/>
            </w:pPr>
            <w:r>
              <w:t xml:space="preserve">20%</w:t>
            </w:r>
          </w:p>
        </w:tc>
        <w:tc>
          <w:tcPr/>
          <w:p>
            <w:pPr>
              <w:pStyle w:val="Compact"/>
              <w:jc w:val="left"/>
            </w:pPr>
            <w:r>
              <w:t xml:space="preserve">57,596,000</w:t>
            </w:r>
          </w:p>
        </w:tc>
        <w:tc>
          <w:tcPr/>
          <w:p>
            <w:pPr>
              <w:pStyle w:val="Compact"/>
              <w:jc w:val="left"/>
            </w:pPr>
            <w:r>
              <w:t xml:space="preserve">Upon execution of professional services agreement</w:t>
            </w:r>
          </w:p>
        </w:tc>
      </w:tr>
      <w:tr>
        <w:tc>
          <w:tcPr/>
          <w:p>
            <w:pPr>
              <w:pStyle w:val="Compact"/>
              <w:jc w:val="left"/>
            </w:pPr>
            <w:r>
              <w:t xml:space="preserve">Conceptual design approval</w:t>
            </w:r>
          </w:p>
        </w:tc>
        <w:tc>
          <w:tcPr/>
          <w:p>
            <w:pPr>
              <w:pStyle w:val="Compact"/>
              <w:jc w:val="left"/>
            </w:pPr>
            <w:r>
              <w:t xml:space="preserve">20%</w:t>
            </w:r>
          </w:p>
        </w:tc>
        <w:tc>
          <w:tcPr/>
          <w:p>
            <w:pPr>
              <w:pStyle w:val="Compact"/>
              <w:jc w:val="left"/>
            </w:pPr>
            <w:r>
              <w:t xml:space="preserve">57,596,000</w:t>
            </w:r>
          </w:p>
        </w:tc>
        <w:tc>
          <w:tcPr/>
          <w:p>
            <w:pPr>
              <w:pStyle w:val="Compact"/>
              <w:jc w:val="left"/>
            </w:pPr>
            <w:r>
              <w:t xml:space="preserve">Client written approval of massing and concept</w:t>
            </w:r>
          </w:p>
        </w:tc>
      </w:tr>
      <w:tr>
        <w:tc>
          <w:tcPr/>
          <w:p>
            <w:pPr>
              <w:pStyle w:val="Compact"/>
              <w:jc w:val="left"/>
            </w:pPr>
            <w:r>
              <w:t xml:space="preserve">Detailed design delivery</w:t>
            </w:r>
          </w:p>
        </w:tc>
        <w:tc>
          <w:tcPr/>
          <w:p>
            <w:pPr>
              <w:pStyle w:val="Compact"/>
              <w:jc w:val="left"/>
            </w:pPr>
            <w:r>
              <w:t xml:space="preserve">25%</w:t>
            </w:r>
          </w:p>
        </w:tc>
        <w:tc>
          <w:tcPr/>
          <w:p>
            <w:pPr>
              <w:pStyle w:val="Compact"/>
              <w:jc w:val="left"/>
            </w:pPr>
            <w:r>
              <w:t xml:space="preserve">71,995,000</w:t>
            </w:r>
          </w:p>
        </w:tc>
        <w:tc>
          <w:tcPr/>
          <w:p>
            <w:pPr>
              <w:pStyle w:val="Compact"/>
              <w:jc w:val="left"/>
            </w:pPr>
            <w:r>
              <w:t xml:space="preserve">Submission of complete construction drawings</w:t>
            </w:r>
          </w:p>
        </w:tc>
      </w:tr>
      <w:tr>
        <w:tc>
          <w:tcPr/>
          <w:p>
            <w:pPr>
              <w:pStyle w:val="Compact"/>
              <w:jc w:val="left"/>
            </w:pPr>
            <w:r>
              <w:t xml:space="preserve">Permit obtained</w:t>
            </w:r>
          </w:p>
        </w:tc>
        <w:tc>
          <w:tcPr/>
          <w:p>
            <w:pPr>
              <w:pStyle w:val="Compact"/>
              <w:jc w:val="left"/>
            </w:pPr>
            <w:r>
              <w:t xml:space="preserve">15%</w:t>
            </w:r>
          </w:p>
        </w:tc>
        <w:tc>
          <w:tcPr/>
          <w:p>
            <w:pPr>
              <w:pStyle w:val="Compact"/>
              <w:jc w:val="left"/>
            </w:pPr>
            <w:r>
              <w:t xml:space="preserve">43,197,000</w:t>
            </w:r>
          </w:p>
        </w:tc>
        <w:tc>
          <w:tcPr/>
          <w:p>
            <w:pPr>
              <w:pStyle w:val="Compact"/>
              <w:jc w:val="left"/>
            </w:pPr>
            <w:r>
              <w:t xml:space="preserve">Issuance of Licencia de Construcción by Bogotá authorities</w:t>
            </w:r>
          </w:p>
        </w:tc>
      </w:tr>
      <w:tr>
        <w:tc>
          <w:tcPr/>
          <w:p>
            <w:pPr>
              <w:pStyle w:val="Compact"/>
              <w:jc w:val="left"/>
            </w:pPr>
            <w:r>
              <w:t xml:space="preserve">Construction supervision (monthly)</w:t>
            </w:r>
          </w:p>
        </w:tc>
        <w:tc>
          <w:tcPr/>
          <w:p>
            <w:pPr>
              <w:pStyle w:val="Compact"/>
              <w:jc w:val="left"/>
            </w:pPr>
            <w:r>
              <w:t xml:space="preserve">15%</w:t>
            </w:r>
          </w:p>
        </w:tc>
        <w:tc>
          <w:tcPr/>
          <w:p>
            <w:pPr>
              <w:pStyle w:val="Compact"/>
              <w:jc w:val="left"/>
            </w:pPr>
            <w:r>
              <w:t xml:space="preserve">43,197,000</w:t>
            </w:r>
          </w:p>
        </w:tc>
        <w:tc>
          <w:tcPr/>
          <w:p>
            <w:pPr>
              <w:pStyle w:val="Compact"/>
              <w:jc w:val="left"/>
            </w:pPr>
            <w:r>
              <w:t xml:space="preserve">Bi-weekly progress billing during construction</w:t>
            </w:r>
          </w:p>
        </w:tc>
      </w:tr>
      <w:tr>
        <w:tc>
          <w:tcPr/>
          <w:p>
            <w:pPr>
              <w:pStyle w:val="Compact"/>
              <w:jc w:val="left"/>
            </w:pPr>
            <w:r>
              <w:t xml:space="preserve">Project handover</w:t>
            </w:r>
          </w:p>
        </w:tc>
        <w:tc>
          <w:tcPr/>
          <w:p>
            <w:pPr>
              <w:pStyle w:val="Compact"/>
              <w:jc w:val="left"/>
            </w:pPr>
            <w:r>
              <w:t xml:space="preserve">5%</w:t>
            </w:r>
          </w:p>
        </w:tc>
        <w:tc>
          <w:tcPr/>
          <w:p>
            <w:pPr>
              <w:pStyle w:val="Compact"/>
              <w:jc w:val="left"/>
            </w:pPr>
            <w:r>
              <w:t xml:space="preserve">14,399,000</w:t>
            </w:r>
          </w:p>
        </w:tc>
        <w:tc>
          <w:tcPr/>
          <w:p>
            <w:pPr>
              <w:pStyle w:val="Compact"/>
              <w:jc w:val="left"/>
            </w:pPr>
            <w:r>
              <w:t xml:space="preserve">Delivery of as-built documentation</w:t>
            </w:r>
          </w:p>
        </w:tc>
      </w:tr>
    </w:tbl>
    <w:bookmarkEnd w:id="26"/>
    <w:bookmarkStart w:id="27"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issue date. After this period, prices may be adjusted to reflect changes in the Colombian Consumer Price Index (IPC) published by DANE.</w:t>
      </w:r>
    </w:p>
    <w:p>
      <w:pPr>
        <w:numPr>
          <w:ilvl w:val="0"/>
          <w:numId w:val="1001"/>
        </w:numPr>
        <w:pStyle w:val="Compact"/>
      </w:pPr>
      <w:r>
        <w:t xml:space="preserve">All amounts stated in this Quotation Estimate are in Colombian Pesos (COP) and include the applicable 19% IVA as per Colombian tax law (Estatuto Tributario, Art. 439).</w:t>
      </w:r>
    </w:p>
    <w:p>
      <w:pPr>
        <w:numPr>
          <w:ilvl w:val="0"/>
          <w:numId w:val="1001"/>
        </w:numPr>
        <w:pStyle w:val="Compact"/>
      </w:pPr>
      <w:r>
        <w:t xml:space="preserve">The Architect services described herein are governed by the Colombian Civil Code (Código Civil) and the professional regulations of the Colegio Colombiano de Arquitectos (Colarq), Bogotá chapter.</w:t>
      </w:r>
    </w:p>
    <w:p>
      <w:pPr>
        <w:numPr>
          <w:ilvl w:val="0"/>
          <w:numId w:val="1001"/>
        </w:numPr>
        <w:pStyle w:val="Compact"/>
      </w:pPr>
      <w:r>
        <w:t xml:space="preserve">Any additional Architect services beyond the scope defined in this Quotation Estimate will be subject to a separate written amendment and additional cost estimate.</w:t>
      </w:r>
    </w:p>
    <w:p>
      <w:pPr>
        <w:numPr>
          <w:ilvl w:val="0"/>
          <w:numId w:val="1001"/>
        </w:numPr>
        <w:pStyle w:val="Compact"/>
      </w:pPr>
      <w:r>
        <w:t xml:space="preserve">The client is responsible for all third-party costs, including but not limited to soil studies, environmental impact assessments, utility connection fees, and municipal taxes levied by the Alcaldía Mayor de Bogotá.</w:t>
      </w:r>
    </w:p>
    <w:p>
      <w:pPr>
        <w:numPr>
          <w:ilvl w:val="0"/>
          <w:numId w:val="1001"/>
        </w:numPr>
        <w:pStyle w:val="Compact"/>
      </w:pPr>
      <w:r>
        <w:t xml:space="preserve">Intellectual property of all Architect designs, drawings, and documentation produced under this Quotation Estimate remains with Estudio Arquitectónico Andino S.A.S. until full payment is received. Upon full settlement, the client receives a non-exclusive license to use the designs for the specific project in Colombia Bogotá.</w:t>
      </w:r>
    </w:p>
    <w:p>
      <w:pPr>
        <w:numPr>
          <w:ilvl w:val="0"/>
          <w:numId w:val="1001"/>
        </w:numPr>
        <w:pStyle w:val="Compact"/>
      </w:pPr>
      <w:r>
        <w:t xml:space="preserve">Delays in client approvals exceeding fifteen (15) business days will result in a proportional extension of the project timeline and may incur additional Architect supervision costs.</w:t>
      </w:r>
    </w:p>
    <w:p>
      <w:pPr>
        <w:numPr>
          <w:ilvl w:val="0"/>
          <w:numId w:val="1001"/>
        </w:numPr>
        <w:pStyle w:val="Compact"/>
      </w:pPr>
      <w:r>
        <w:t xml:space="preserve">This Quotation Estimate does not constitute a binding contract until both parties execute the formal professional services agreement (Contrato de Prestación de Servicios Profesionales).</w:t>
      </w:r>
    </w:p>
    <w:p>
      <w:pPr>
        <w:numPr>
          <w:ilvl w:val="0"/>
          <w:numId w:val="1001"/>
        </w:numPr>
        <w:pStyle w:val="Compact"/>
      </w:pPr>
      <w:r>
        <w:t xml:space="preserve">Disputes arising from this Quotation Estimate or the subsequent contract shall be resolved through mediation before the Cámara de Comercio de Bogotá, in accordance with Colombian commercial arbitration law.</w:t>
      </w:r>
    </w:p>
    <w:p>
      <w:pPr>
        <w:pStyle w:val="FirstParagraph"/>
      </w:pPr>
      <w:r>
        <w:rPr>
          <w:bCs/>
          <w:b/>
        </w:rPr>
        <w:t xml:space="preserve">Prepared by (Architect Firm):</w:t>
      </w:r>
    </w:p>
    <w:p>
      <w:pPr>
        <w:pStyle w:val="BodyText"/>
      </w:pPr>
      <w:r>
        <w:rPr>
          <w:bCs/>
          <w:b/>
        </w:rPr>
        <w:t xml:space="preserve">Arq. Carlos Alberto Mendoza R.</w:t>
      </w:r>
    </w:p>
    <w:p>
      <w:pPr>
        <w:pStyle w:val="BodyText"/>
      </w:pPr>
      <w:r>
        <w:t xml:space="preserve">Director Técnico – Registro Profesional de Arquitecto No. 12345</w:t>
      </w:r>
    </w:p>
    <w:p>
      <w:pPr>
        <w:pStyle w:val="BodyText"/>
      </w:pPr>
      <w:r>
        <w:t xml:space="preserve">Estudio Arquitectónico Andino S.A.S.</w:t>
      </w:r>
    </w:p>
    <w:p>
      <w:pPr>
        <w:pStyle w:val="BodyText"/>
      </w:pPr>
      <w:r>
        <w:t xml:space="preserve">Bogotá D.C., Colombia</w:t>
      </w:r>
    </w:p>
    <w:p>
      <w:pPr>
        <w:pStyle w:val="BodyText"/>
      </w:pPr>
      <w:r>
        <w:rPr>
          <w:bCs/>
          <w:b/>
        </w:rPr>
        <w:t xml:space="preserve">Accepted by (Client):</w:t>
      </w:r>
    </w:p>
    <w:p>
      <w:pPr>
        <w:pStyle w:val="BodyText"/>
      </w:pPr>
      <w:r>
        <w:rPr>
          <w:bCs/>
          <w:b/>
        </w:rPr>
        <w:t xml:space="preserve">Ing. María Fernanda Restrepo</w:t>
      </w:r>
    </w:p>
    <w:p>
      <w:pPr>
        <w:pStyle w:val="BodyText"/>
      </w:pPr>
      <w:r>
        <w:t xml:space="preserve">Gerente de Proyectos</w:t>
      </w:r>
    </w:p>
    <w:p>
      <w:pPr>
        <w:pStyle w:val="BodyText"/>
      </w:pPr>
      <w:r>
        <w:t xml:space="preserve">Constructora Los Andes S.A.S.</w:t>
      </w:r>
    </w:p>
    <w:p>
      <w:pPr>
        <w:pStyle w:val="BodyText"/>
      </w:pPr>
      <w:r>
        <w:t xml:space="preserve">Medellín, Colombia</w:t>
      </w:r>
    </w:p>
    <w:p>
      <w:pPr>
        <w:pStyle w:val="BodyText"/>
      </w:pPr>
      <w:r>
        <w:t xml:space="preserve">Quotation Estimate No. QE-2025-0847 | Estudio Arquitectónico Andino S.A.S. | Bogotá D.C., Colombia</w:t>
      </w:r>
    </w:p>
    <w:p>
      <w:pPr>
        <w:pStyle w:val="BodyText"/>
      </w:pPr>
      <w:r>
        <w:t xml:space="preserve">This document is a professional Quotation Estimate for Architect services. It is not a final invoice. All regulatory references pertain to the current POT de Bogotá and Colombian national building codes in effect as of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Colombia Bogotá</dc:title>
  <dc:creator/>
  <dc:language>en</dc:language>
  <cp:keywords/>
  <dcterms:created xsi:type="dcterms:W3CDTF">2026-10-10T04:06:47Z</dcterms:created>
  <dcterms:modified xsi:type="dcterms:W3CDTF">2026-10-10T04:06:47Z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