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Architect</w:t>
      </w:r>
      <w:r>
        <w:t xml:space="preserve"> </w:t>
      </w:r>
      <w:r>
        <w:t xml:space="preserve">Services</w:t>
      </w:r>
      <w:r>
        <w:t xml:space="preserve"> </w:t>
      </w:r>
      <w:r>
        <w:t xml:space="preserve">-</w:t>
      </w:r>
      <w:r>
        <w:t xml:space="preserve"> </w:t>
      </w:r>
      <w:r>
        <w:t xml:space="preserve">Medellín,</w:t>
      </w:r>
      <w:r>
        <w:t xml:space="preserve"> </w:t>
      </w:r>
      <w:r>
        <w:t xml:space="preserve">Colombia</w:t>
      </w:r>
    </w:p>
    <w:bookmarkStart w:id="20" w:name="quotation-estimate"/>
    <w:p>
      <w:pPr>
        <w:pStyle w:val="Heading1"/>
      </w:pPr>
      <w:r>
        <w:t xml:space="preserve">QUOTATION ESTIMATE</w:t>
      </w:r>
    </w:p>
    <w:p>
      <w:pPr>
        <w:pStyle w:val="FirstParagraph"/>
      </w:pPr>
      <w:r>
        <w:t xml:space="preserve">Professional Architect Services — Medellín, Colombia</w:t>
      </w:r>
    </w:p>
    <w:p>
      <w:pPr>
        <w:pStyle w:val="BodyText"/>
      </w:pPr>
      <w:r>
        <w:t xml:space="preserve">Ref: QTE-MDE-2025-0478</w:t>
      </w:r>
    </w:p>
    <w:bookmarkEnd w:id="20"/>
    <w:p>
      <w:pPr>
        <w:pStyle w:val="BodyText"/>
      </w:pPr>
      <w:r>
        <w:rPr>
          <w:bCs/>
          <w:b/>
        </w:rPr>
        <w:t xml:space="preserve">Architect Firm:</w:t>
      </w:r>
      <w:r>
        <w:br/>
      </w:r>
      <w:r>
        <w:t xml:space="preserve">Estudio Arquitectónico Valle del Aburrá S.A.S.</w:t>
      </w:r>
      <w:r>
        <w:br/>
      </w:r>
      <w:r>
        <w:t xml:space="preserve">Cra. 43A # 7 Sur-15, Of. 902</w:t>
      </w:r>
      <w:r>
        <w:br/>
      </w:r>
      <w:r>
        <w:t xml:space="preserve">El Poblado, Medellín, Antioquia, Colombia</w:t>
      </w:r>
      <w:r>
        <w:br/>
      </w:r>
      <w:r>
        <w:t xml:space="preserve">NIT: 901.234.567-8</w:t>
      </w:r>
      <w:r>
        <w:br/>
      </w:r>
      <w:r>
        <w:t xml:space="preserve">Tel: +57 (604) 444 5566</w:t>
      </w:r>
      <w:r>
        <w:br/>
      </w:r>
      <w:r>
        <w:t xml:space="preserve">Email: proyectos@estudiovalleaburra.co</w:t>
      </w:r>
    </w:p>
    <w:p>
      <w:pPr>
        <w:pStyle w:val="BodyText"/>
      </w:pPr>
      <w:r>
        <w:rPr>
          <w:bCs/>
          <w:b/>
        </w:rPr>
        <w:t xml:space="preserve">Quotation Date:</w:t>
      </w:r>
      <w:r>
        <w:t xml:space="preserve"> </w:t>
      </w:r>
      <w:r>
        <w:t xml:space="preserve">June 12, 2025</w:t>
      </w:r>
      <w:r>
        <w:br/>
      </w:r>
      <w:r>
        <w:rPr>
          <w:bCs/>
          <w:b/>
        </w:rPr>
        <w:t xml:space="preserve">Validity Period:</w:t>
      </w:r>
      <w:r>
        <w:t xml:space="preserve"> </w:t>
      </w:r>
      <w:r>
        <w:t xml:space="preserve">30 calendar days</w:t>
      </w:r>
      <w:r>
        <w:br/>
      </w:r>
      <w:r>
        <w:rPr>
          <w:bCs/>
          <w:b/>
        </w:rPr>
        <w:t xml:space="preserve">Client:</w:t>
      </w:r>
      <w:r>
        <w:t xml:space="preserve"> </w:t>
      </w:r>
      <w:r>
        <w:t xml:space="preserve">Constructora Los Andes S.A.S.</w:t>
      </w:r>
      <w:r>
        <w:br/>
      </w:r>
      <w:r>
        <w:rPr>
          <w:bCs/>
          <w:b/>
        </w:rPr>
        <w:t xml:space="preserve">Project Location:</w:t>
      </w:r>
      <w:r>
        <w:t xml:space="preserve"> </w:t>
      </w:r>
      <w:r>
        <w:t xml:space="preserve">Medellín, Colombia</w:t>
      </w:r>
      <w:r>
        <w:br/>
      </w:r>
      <w:r>
        <w:rPr>
          <w:bCs/>
          <w:b/>
        </w:rPr>
        <w:t xml:space="preserve">Prepared By:</w:t>
      </w:r>
      <w:r>
        <w:t xml:space="preserve"> </w:t>
      </w:r>
      <w:r>
        <w:t xml:space="preserve">Arq. Carolina Restrepo M., C.C. 1023456789</w:t>
      </w:r>
    </w:p>
    <w:bookmarkStart w:id="21" w:name="project-overview"/>
    <w:p>
      <w:pPr>
        <w:pStyle w:val="Heading2"/>
      </w:pPr>
      <w:r>
        <w:t xml:space="preserve">1. Project Overview</w:t>
      </w:r>
    </w:p>
    <w:p>
      <w:pPr>
        <w:pStyle w:val="FirstParagraph"/>
      </w:pPr>
      <w:r>
        <w:t xml:space="preserve">This</w:t>
      </w:r>
      <w:r>
        <w:t xml:space="preserve"> </w:t>
      </w:r>
      <w:r>
        <w:t xml:space="preserve">Quotation Estimate</w:t>
      </w:r>
      <w:r>
        <w:t xml:space="preserve"> </w:t>
      </w:r>
      <w:r>
        <w:t xml:space="preserve">is issued by Estudio Arquitectónico Valle del Aburrá S.A.S., a licensed</w:t>
      </w:r>
      <w:r>
        <w:t xml:space="preserve"> </w:t>
      </w:r>
      <w:r>
        <w:t xml:space="preserve">Architect</w:t>
      </w:r>
      <w:r>
        <w:t xml:space="preserve"> </w:t>
      </w:r>
      <w:r>
        <w:t xml:space="preserve">firm registered with the Cámara de Comercio de Medellín and the Colegio Colombiano de Arquitectos (Colarquitectos), Antioquia Chapter. The scope of work pertains to the complete architectural design, development, and technical documentation for a mixed-use residential and commercial building located in the Comuna 10 (El Poblado) district of</w:t>
      </w:r>
      <w:r>
        <w:t xml:space="preserve"> </w:t>
      </w:r>
      <w:r>
        <w:t xml:space="preserve">Medellín, Colombia</w:t>
      </w:r>
      <w:r>
        <w:t xml:space="preserve">. The project encompasses a structure of approximately 4,200 square meters of built area across eight floors, including ground-level commercial spaces, six residential floors, and a rooftop terrace with panoramic views of the Aburrá Valley.</w:t>
      </w:r>
    </w:p>
    <w:bookmarkEnd w:id="21"/>
    <w:bookmarkStart w:id="22" w:name="scope-of-architectural-services"/>
    <w:p>
      <w:pPr>
        <w:pStyle w:val="Heading2"/>
      </w:pPr>
      <w:r>
        <w:t xml:space="preserve">2. Scope of Architectural Services</w:t>
      </w:r>
    </w:p>
    <w:p>
      <w:pPr>
        <w:pStyle w:val="FirstParagraph"/>
      </w:pPr>
      <w:r>
        <w:t xml:space="preserve">The following</w:t>
      </w:r>
      <w:r>
        <w:t xml:space="preserve"> </w:t>
      </w:r>
      <w:r>
        <w:t xml:space="preserve">Architect</w:t>
      </w:r>
      <w:r>
        <w:t xml:space="preserve"> </w:t>
      </w:r>
      <w:r>
        <w:t xml:space="preserve">services are included in this</w:t>
      </w:r>
      <w:r>
        <w:t xml:space="preserve"> </w:t>
      </w:r>
      <w:r>
        <w:t xml:space="preserve">Quotation Estimate</w:t>
      </w:r>
      <w:r>
        <w:t xml:space="preserve"> </w:t>
      </w:r>
      <w:r>
        <w:t xml:space="preserve">for the Medellín, Colombia project:</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Deliverable</w:t>
            </w:r>
          </w:p>
        </w:tc>
        <w:tc>
          <w:tcPr/>
          <w:p>
            <w:pPr>
              <w:pStyle w:val="Compact"/>
              <w:jc w:val="left"/>
            </w:pPr>
            <w:r>
              <w:t xml:space="preserve">Duration</w:t>
            </w:r>
          </w:p>
        </w:tc>
        <w:tc>
          <w:tcPr/>
          <w:p>
            <w:pPr>
              <w:pStyle w:val="Compact"/>
              <w:jc w:val="left"/>
            </w:pPr>
            <w:r>
              <w:t xml:space="preserve">Cost (COP)</w:t>
            </w:r>
          </w:p>
        </w:tc>
      </w:tr>
      <w:tr>
        <w:tc>
          <w:tcPr/>
          <w:p>
            <w:pPr>
              <w:pStyle w:val="Compact"/>
              <w:jc w:val="left"/>
            </w:pPr>
            <w:r>
              <w:t xml:space="preserve">1</w:t>
            </w:r>
          </w:p>
        </w:tc>
        <w:tc>
          <w:tcPr/>
          <w:p>
            <w:pPr>
              <w:pStyle w:val="Compact"/>
              <w:jc w:val="left"/>
            </w:pPr>
            <w:r>
              <w:t xml:space="preserve">Pre-design feasibility study and site analysis of the Medellín parcel, including topographic survey review, zoning verification with the Secretaría de Planeación de Medellín, and environmental impact assessment per Antioquia regional regulations.</w:t>
            </w:r>
          </w:p>
        </w:tc>
        <w:tc>
          <w:tcPr/>
          <w:p>
            <w:pPr>
              <w:pStyle w:val="Compact"/>
              <w:jc w:val="left"/>
            </w:pPr>
            <w:r>
              <w:t xml:space="preserve">Feasibility Report (PDF + hard copy)</w:t>
            </w:r>
          </w:p>
        </w:tc>
        <w:tc>
          <w:tcPr/>
          <w:p>
            <w:pPr>
              <w:pStyle w:val="Compact"/>
              <w:jc w:val="left"/>
            </w:pPr>
            <w:r>
              <w:t xml:space="preserve">3 weeks</w:t>
            </w:r>
          </w:p>
        </w:tc>
        <w:tc>
          <w:tcPr/>
          <w:p>
            <w:pPr>
              <w:pStyle w:val="Compact"/>
              <w:jc w:val="left"/>
            </w:pPr>
            <w:r>
              <w:t xml:space="preserve">$18,500,000</w:t>
            </w:r>
          </w:p>
        </w:tc>
      </w:tr>
      <w:tr>
        <w:tc>
          <w:tcPr/>
          <w:p>
            <w:pPr>
              <w:pStyle w:val="Compact"/>
              <w:jc w:val="left"/>
            </w:pPr>
            <w:r>
              <w:t xml:space="preserve">2</w:t>
            </w:r>
          </w:p>
        </w:tc>
        <w:tc>
          <w:tcPr/>
          <w:p>
            <w:pPr>
              <w:pStyle w:val="Compact"/>
              <w:jc w:val="left"/>
            </w:pPr>
            <w:r>
              <w:t xml:space="preserve">Conceptual architectural design: massing studies, volumetric proposals, material palette selection, and three (3) alternative design schemes for client review and approval.</w:t>
            </w:r>
          </w:p>
        </w:tc>
        <w:tc>
          <w:tcPr/>
          <w:p>
            <w:pPr>
              <w:pStyle w:val="Compact"/>
              <w:jc w:val="left"/>
            </w:pPr>
            <w:r>
              <w:t xml:space="preserve">Concept Design Package + 3D renders</w:t>
            </w:r>
          </w:p>
        </w:tc>
        <w:tc>
          <w:tcPr/>
          <w:p>
            <w:pPr>
              <w:pStyle w:val="Compact"/>
              <w:jc w:val="left"/>
            </w:pPr>
            <w:r>
              <w:t xml:space="preserve">5 weeks</w:t>
            </w:r>
          </w:p>
        </w:tc>
        <w:tc>
          <w:tcPr/>
          <w:p>
            <w:pPr>
              <w:pStyle w:val="Compact"/>
              <w:jc w:val="left"/>
            </w:pPr>
            <w:r>
              <w:t xml:space="preserve">$32,000,000</w:t>
            </w:r>
          </w:p>
        </w:tc>
      </w:tr>
      <w:tr>
        <w:tc>
          <w:tcPr/>
          <w:p>
            <w:pPr>
              <w:pStyle w:val="Compact"/>
              <w:jc w:val="left"/>
            </w:pPr>
            <w:r>
              <w:t xml:space="preserve">3</w:t>
            </w:r>
          </w:p>
        </w:tc>
        <w:tc>
          <w:tcPr/>
          <w:p>
            <w:pPr>
              <w:pStyle w:val="Compact"/>
              <w:jc w:val="left"/>
            </w:pPr>
            <w:r>
              <w:t xml:space="preserve">Schematic design development: floor plans, elevations, sections, and preliminary structural coordination for all eight levels of the building in Medellín.</w:t>
            </w:r>
          </w:p>
        </w:tc>
        <w:tc>
          <w:tcPr/>
          <w:p>
            <w:pPr>
              <w:pStyle w:val="Compact"/>
              <w:jc w:val="left"/>
            </w:pPr>
            <w:r>
              <w:t xml:space="preserve">Schematic Design Drawings (DWG + PDF)</w:t>
            </w:r>
          </w:p>
        </w:tc>
        <w:tc>
          <w:tcPr/>
          <w:p>
            <w:pPr>
              <w:pStyle w:val="Compact"/>
              <w:jc w:val="left"/>
            </w:pPr>
            <w:r>
              <w:t xml:space="preserve">6 weeks</w:t>
            </w:r>
          </w:p>
        </w:tc>
        <w:tc>
          <w:tcPr/>
          <w:p>
            <w:pPr>
              <w:pStyle w:val="Compact"/>
              <w:jc w:val="left"/>
            </w:pPr>
            <w:r>
              <w:t xml:space="preserve">$28,000,000</w:t>
            </w:r>
          </w:p>
        </w:tc>
      </w:tr>
      <w:tr>
        <w:tc>
          <w:tcPr/>
          <w:p>
            <w:pPr>
              <w:pStyle w:val="Compact"/>
              <w:jc w:val="left"/>
            </w:pPr>
            <w:r>
              <w:t xml:space="preserve">4</w:t>
            </w:r>
          </w:p>
        </w:tc>
        <w:tc>
          <w:tcPr/>
          <w:p>
            <w:pPr>
              <w:pStyle w:val="Compact"/>
              <w:jc w:val="left"/>
            </w:pPr>
            <w:r>
              <w:t xml:space="preserve">Detailed architectural design and construction documentation: complete set of construction drawings, specifications, door and window schedules, finish schedules, and MEP coordination drawings compliant with the Código de Construcción de Medellín (CMM) and NTC standards.</w:t>
            </w:r>
          </w:p>
        </w:tc>
        <w:tc>
          <w:tcPr/>
          <w:p>
            <w:pPr>
              <w:pStyle w:val="Compact"/>
              <w:jc w:val="left"/>
            </w:pPr>
            <w:r>
              <w:t xml:space="preserve">Full Construction Document Set</w:t>
            </w:r>
          </w:p>
        </w:tc>
        <w:tc>
          <w:tcPr/>
          <w:p>
            <w:pPr>
              <w:pStyle w:val="Compact"/>
              <w:jc w:val="left"/>
            </w:pPr>
            <w:r>
              <w:t xml:space="preserve">10 weeks</w:t>
            </w:r>
          </w:p>
        </w:tc>
        <w:tc>
          <w:tcPr/>
          <w:p>
            <w:pPr>
              <w:pStyle w:val="Compact"/>
              <w:jc w:val="left"/>
            </w:pPr>
            <w:r>
              <w:t xml:space="preserve">$55,000,000</w:t>
            </w:r>
          </w:p>
        </w:tc>
      </w:tr>
      <w:tr>
        <w:tc>
          <w:tcPr/>
          <w:p>
            <w:pPr>
              <w:pStyle w:val="Compact"/>
              <w:jc w:val="left"/>
            </w:pPr>
            <w:r>
              <w:t xml:space="preserve">5</w:t>
            </w:r>
          </w:p>
        </w:tc>
        <w:tc>
          <w:tcPr/>
          <w:p>
            <w:pPr>
              <w:pStyle w:val="Compact"/>
              <w:jc w:val="left"/>
            </w:pPr>
            <w:r>
              <w:t xml:space="preserve">Permitting and regulatory liaison: preparation and submission of all required documents to the Secretaría de Planeación de Medellín, the Oficina de Gestión de Permisos, and the Corpoantioquia environmental authority. Includes attendance at review meetings and response to official observations.</w:t>
            </w:r>
          </w:p>
        </w:tc>
        <w:tc>
          <w:tcPr/>
          <w:p>
            <w:pPr>
              <w:pStyle w:val="Compact"/>
              <w:jc w:val="left"/>
            </w:pPr>
            <w:r>
              <w:t xml:space="preserve">Approved Construction Permit (Licencia de Construcción)</w:t>
            </w:r>
          </w:p>
        </w:tc>
        <w:tc>
          <w:tcPr/>
          <w:p>
            <w:pPr>
              <w:pStyle w:val="Compact"/>
              <w:jc w:val="left"/>
            </w:pPr>
            <w:r>
              <w:t xml:space="preserve">8 weeks</w:t>
            </w:r>
          </w:p>
        </w:tc>
        <w:tc>
          <w:tcPr/>
          <w:p>
            <w:pPr>
              <w:pStyle w:val="Compact"/>
              <w:jc w:val="left"/>
            </w:pPr>
            <w:r>
              <w:t xml:space="preserve">$15,000,000</w:t>
            </w:r>
          </w:p>
        </w:tc>
      </w:tr>
      <w:tr>
        <w:tc>
          <w:tcPr/>
          <w:p>
            <w:pPr>
              <w:pStyle w:val="Compact"/>
              <w:jc w:val="left"/>
            </w:pPr>
            <w:r>
              <w:t xml:space="preserve">6</w:t>
            </w:r>
          </w:p>
        </w:tc>
        <w:tc>
          <w:tcPr/>
          <w:p>
            <w:pPr>
              <w:pStyle w:val="Compact"/>
              <w:jc w:val="left"/>
            </w:pPr>
            <w:r>
              <w:t xml:space="preserve">Construction-phase architectural supervision: bi-weekly site visits in Medellín, quality control of executed works against approved drawings, issuance of progress reports, and coordination with the structural engineer and contractor.</w:t>
            </w:r>
          </w:p>
        </w:tc>
        <w:tc>
          <w:tcPr/>
          <w:p>
            <w:pPr>
              <w:pStyle w:val="Compact"/>
              <w:jc w:val="left"/>
            </w:pPr>
            <w:r>
              <w:t xml:space="preserve">Monthly Supervision Reports</w:t>
            </w:r>
          </w:p>
        </w:tc>
        <w:tc>
          <w:tcPr/>
          <w:p>
            <w:pPr>
              <w:pStyle w:val="Compact"/>
              <w:jc w:val="left"/>
            </w:pPr>
            <w:r>
              <w:t xml:space="preserve">14 months</w:t>
            </w:r>
          </w:p>
        </w:tc>
        <w:tc>
          <w:tcPr/>
          <w:p>
            <w:pPr>
              <w:pStyle w:val="Compact"/>
              <w:jc w:val="left"/>
            </w:pPr>
            <w:r>
              <w:t xml:space="preserve">$48,000,000</w:t>
            </w:r>
          </w:p>
        </w:tc>
      </w:tr>
      <w:tr>
        <w:tc>
          <w:tcPr/>
          <w:p>
            <w:pPr>
              <w:pStyle w:val="Compact"/>
              <w:jc w:val="left"/>
            </w:pPr>
            <w:r>
              <w:t xml:space="preserve">7</w:t>
            </w:r>
          </w:p>
        </w:tc>
        <w:tc>
          <w:tcPr/>
          <w:p>
            <w:pPr>
              <w:pStyle w:val="Compact"/>
              <w:jc w:val="left"/>
            </w:pPr>
            <w:r>
              <w:t xml:space="preserve">As-built documentation and project closeout: final as-built drawings, operation and maintenance manuals, and handover documentation for the client in Medellín.</w:t>
            </w:r>
          </w:p>
        </w:tc>
        <w:tc>
          <w:tcPr/>
          <w:p>
            <w:pPr>
              <w:pStyle w:val="Compact"/>
              <w:jc w:val="left"/>
            </w:pPr>
            <w:r>
              <w:t xml:space="preserve">As-Built Package + O&amp;M Manuals</w:t>
            </w:r>
          </w:p>
        </w:tc>
        <w:tc>
          <w:tcPr/>
          <w:p>
            <w:pPr>
              <w:pStyle w:val="Compact"/>
              <w:jc w:val="left"/>
            </w:pPr>
            <w:r>
              <w:t xml:space="preserve">4 weeks</w:t>
            </w:r>
          </w:p>
        </w:tc>
        <w:tc>
          <w:tcPr/>
          <w:p>
            <w:pPr>
              <w:pStyle w:val="Compact"/>
              <w:jc w:val="left"/>
            </w:pPr>
            <w:r>
              <w:t xml:space="preserve">$12,000,000</w:t>
            </w:r>
          </w:p>
        </w:tc>
      </w:tr>
    </w:tbl>
    <w:bookmarkEnd w:id="22"/>
    <w:bookmarkStart w:id="23" w:name="cost-summary"/>
    <w:p>
      <w:pPr>
        <w:pStyle w:val="Heading2"/>
      </w:pPr>
      <w:r>
        <w:t xml:space="preserve">3. Cost Summary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Description</w:t>
            </w:r>
          </w:p>
        </w:tc>
        <w:tc>
          <w:tcPr/>
          <w:p>
            <w:pPr>
              <w:pStyle w:val="Compact"/>
              <w:jc w:val="left"/>
            </w:pPr>
            <w:r>
              <w:t xml:space="preserve">Amount (COP)</w:t>
            </w:r>
          </w:p>
        </w:tc>
      </w:tr>
      <w:tr>
        <w:tc>
          <w:tcPr/>
          <w:p>
            <w:pPr>
              <w:pStyle w:val="Compact"/>
              <w:jc w:val="left"/>
            </w:pPr>
            <w:r>
              <w:t xml:space="preserve">Subtotal — Professional Architect Fees</w:t>
            </w:r>
          </w:p>
        </w:tc>
        <w:tc>
          <w:tcPr/>
          <w:p>
            <w:pPr>
              <w:pStyle w:val="Compact"/>
              <w:jc w:val="left"/>
            </w:pPr>
            <w:r>
              <w:t xml:space="preserve">$208,500,000</w:t>
            </w:r>
          </w:p>
        </w:tc>
      </w:tr>
      <w:tr>
        <w:tc>
          <w:tcPr/>
          <w:p>
            <w:pPr>
              <w:pStyle w:val="Compact"/>
              <w:jc w:val="left"/>
            </w:pPr>
            <w:r>
              <w:t xml:space="preserve">Value Added Tax (IVA) — 19% (Colombian tax code)</w:t>
            </w:r>
          </w:p>
        </w:tc>
        <w:tc>
          <w:tcPr/>
          <w:p>
            <w:pPr>
              <w:pStyle w:val="Compact"/>
              <w:jc w:val="left"/>
            </w:pPr>
            <w:r>
              <w:t xml:space="preserve">$39,615,000</w:t>
            </w:r>
          </w:p>
        </w:tc>
      </w:tr>
      <w:tr>
        <w:tc>
          <w:tcPr/>
          <w:p>
            <w:pPr>
              <w:pStyle w:val="Compact"/>
              <w:jc w:val="left"/>
            </w:pPr>
            <w:r>
              <w:t xml:space="preserve">TOTAL QUOTATION ESTIMATE (COP)</w:t>
            </w:r>
          </w:p>
        </w:tc>
        <w:tc>
          <w:tcPr/>
          <w:p>
            <w:pPr>
              <w:pStyle w:val="Compact"/>
              <w:jc w:val="left"/>
            </w:pPr>
            <w:r>
              <w:t xml:space="preserve">$248,115,000</w:t>
            </w:r>
          </w:p>
        </w:tc>
      </w:tr>
      <w:tr>
        <w:tc>
          <w:tcPr/>
          <w:p>
            <w:pPr>
              <w:pStyle w:val="Compact"/>
              <w:jc w:val="left"/>
            </w:pPr>
            <w:r>
              <w:t xml:space="preserve">Approximate USD Equivalent (reference rate: 1 USD = 3,950 COP)</w:t>
            </w:r>
          </w:p>
        </w:tc>
        <w:tc>
          <w:tcPr/>
          <w:p>
            <w:pPr>
              <w:pStyle w:val="Compact"/>
              <w:jc w:val="left"/>
            </w:pPr>
            <w:r>
              <w:t xml:space="preserve">≈ $62,814 USD</w:t>
            </w:r>
          </w:p>
        </w:tc>
      </w:tr>
    </w:tbl>
    <w:bookmarkEnd w:id="23"/>
    <w:bookmarkStart w:id="24" w:name="payment-schedule"/>
    <w:p>
      <w:pPr>
        <w:pStyle w:val="Heading2"/>
      </w:pPr>
      <w:r>
        <w:t xml:space="preserve">4. Payment Schedule</w:t>
      </w:r>
    </w:p>
    <w:p>
      <w:pPr>
        <w:pStyle w:val="FirstParagraph"/>
      </w:pPr>
      <w:r>
        <w:t xml:space="preserve">This</w:t>
      </w:r>
      <w:r>
        <w:t xml:space="preserve"> </w:t>
      </w:r>
      <w:r>
        <w:t xml:space="preserve">Quotation Estimate</w:t>
      </w:r>
      <w:r>
        <w:t xml:space="preserve"> </w:t>
      </w:r>
      <w:r>
        <w:t xml:space="preserve">for the</w:t>
      </w:r>
      <w:r>
        <w:t xml:space="preserve"> </w:t>
      </w:r>
      <w:r>
        <w:t xml:space="preserve">Architect</w:t>
      </w:r>
      <w:r>
        <w:t xml:space="preserve"> </w:t>
      </w:r>
      <w:r>
        <w:t xml:space="preserve">services in</w:t>
      </w:r>
      <w:r>
        <w:t xml:space="preserve"> </w:t>
      </w:r>
      <w:r>
        <w:t xml:space="preserve">Medellín, Colombia</w:t>
      </w:r>
      <w:r>
        <w:t xml:space="preserve"> </w:t>
      </w:r>
      <w:r>
        <w:t xml:space="preserve">shall be paid according to the following milestone-based schedule: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(COP)</w:t>
            </w:r>
          </w:p>
        </w:tc>
      </w:tr>
      <w:tr>
        <w:tc>
          <w:tcPr/>
          <w:p>
            <w:pPr>
              <w:pStyle w:val="Compact"/>
              <w:jc w:val="left"/>
            </w:pPr>
            <w:r>
              <w:t xml:space="preserve">Contract signing and mobilization</w:t>
            </w:r>
          </w:p>
        </w:tc>
        <w:tc>
          <w:tcPr/>
          <w:p>
            <w:pPr>
              <w:pStyle w:val="Compact"/>
              <w:jc w:val="left"/>
            </w:pPr>
            <w:r>
              <w:t xml:space="preserve">15%</w:t>
            </w:r>
          </w:p>
        </w:tc>
        <w:tc>
          <w:tcPr/>
          <w:p>
            <w:pPr>
              <w:pStyle w:val="Compact"/>
              <w:jc w:val="left"/>
            </w:pPr>
            <w:r>
              <w:t xml:space="preserve">$37,217,250</w:t>
            </w:r>
          </w:p>
        </w:tc>
      </w:tr>
      <w:tr>
        <w:tc>
          <w:tcPr/>
          <w:p>
            <w:pPr>
              <w:pStyle w:val="Compact"/>
              <w:jc w:val="left"/>
            </w:pPr>
            <w:r>
              <w:t xml:space="preserve">Approval of Conceptual Design</w:t>
            </w:r>
          </w:p>
        </w:tc>
        <w:tc>
          <w:tcPr/>
          <w:p>
            <w:pPr>
              <w:pStyle w:val="Compact"/>
              <w:jc w:val="left"/>
            </w:pPr>
            <w:r>
              <w:t xml:space="preserve">20%</w:t>
            </w:r>
          </w:p>
        </w:tc>
        <w:tc>
          <w:tcPr/>
          <w:p>
            <w:pPr>
              <w:pStyle w:val="Compact"/>
              <w:jc w:val="left"/>
            </w:pPr>
            <w:r>
              <w:t xml:space="preserve">$49,623,000</w:t>
            </w:r>
          </w:p>
        </w:tc>
      </w:tr>
      <w:tr>
        <w:tc>
          <w:tcPr/>
          <w:p>
            <w:pPr>
              <w:pStyle w:val="Compact"/>
              <w:jc w:val="left"/>
            </w:pPr>
            <w:r>
              <w:t xml:space="preserve">Delivery of Schematic Design</w:t>
            </w:r>
          </w:p>
        </w:tc>
        <w:tc>
          <w:tcPr/>
          <w:p>
            <w:pPr>
              <w:pStyle w:val="Compact"/>
              <w:jc w:val="left"/>
            </w:pPr>
            <w:r>
              <w:t xml:space="preserve">15%</w:t>
            </w:r>
          </w:p>
        </w:tc>
        <w:tc>
          <w:tcPr/>
          <w:p>
            <w:pPr>
              <w:pStyle w:val="Compact"/>
              <w:jc w:val="left"/>
            </w:pPr>
            <w:r>
              <w:t xml:space="preserve">$37,217,250</w:t>
            </w:r>
          </w:p>
        </w:tc>
      </w:tr>
      <w:tr>
        <w:tc>
          <w:tcPr/>
          <w:p>
            <w:pPr>
              <w:pStyle w:val="Compact"/>
              <w:jc w:val="left"/>
            </w:pPr>
            <w:r>
              <w:t xml:space="preserve">Delivery of Construction Documents</w:t>
            </w:r>
          </w:p>
        </w:tc>
        <w:tc>
          <w:tcPr/>
          <w:p>
            <w:pPr>
              <w:pStyle w:val="Compact"/>
              <w:jc w:val="left"/>
            </w:pPr>
            <w:r>
              <w:t xml:space="preserve">25%</w:t>
            </w:r>
          </w:p>
        </w:tc>
        <w:tc>
          <w:tcPr/>
          <w:p>
            <w:pPr>
              <w:pStyle w:val="Compact"/>
              <w:jc w:val="left"/>
            </w:pPr>
            <w:r>
              <w:t xml:space="preserve">$62,028,750</w:t>
            </w:r>
          </w:p>
        </w:tc>
      </w:tr>
      <w:tr>
        <w:tc>
          <w:tcPr/>
          <w:p>
            <w:pPr>
              <w:pStyle w:val="Compact"/>
              <w:jc w:val="left"/>
            </w:pPr>
            <w:r>
              <w:t xml:space="preserve">Obtaining Construction Permit</w:t>
            </w:r>
          </w:p>
        </w:tc>
        <w:tc>
          <w:tcPr/>
          <w:p>
            <w:pPr>
              <w:pStyle w:val="Compact"/>
              <w:jc w:val="left"/>
            </w:pPr>
            <w:r>
              <w:t xml:space="preserve">10%</w:t>
            </w:r>
          </w:p>
        </w:tc>
        <w:tc>
          <w:tcPr/>
          <w:p>
            <w:pPr>
              <w:pStyle w:val="Compact"/>
              <w:jc w:val="left"/>
            </w:pPr>
            <w:r>
              <w:t xml:space="preserve">$24,811,500</w:t>
            </w:r>
          </w:p>
        </w:tc>
      </w:tr>
      <w:tr>
        <w:tc>
          <w:tcPr/>
          <w:p>
            <w:pPr>
              <w:pStyle w:val="Compact"/>
              <w:jc w:val="left"/>
            </w:pPr>
            <w:r>
              <w:t xml:space="preserve">Construction supervision (monthly installments)</w:t>
            </w:r>
          </w:p>
        </w:tc>
        <w:tc>
          <w:tcPr/>
          <w:p>
            <w:pPr>
              <w:pStyle w:val="Compact"/>
              <w:jc w:val="left"/>
            </w:pPr>
            <w:r>
              <w:t xml:space="preserve">10%</w:t>
            </w:r>
          </w:p>
        </w:tc>
        <w:tc>
          <w:tcPr/>
          <w:p>
            <w:pPr>
              <w:pStyle w:val="Compact"/>
              <w:jc w:val="left"/>
            </w:pPr>
            <w:r>
              <w:t xml:space="preserve">$24,811,500</w:t>
            </w:r>
          </w:p>
        </w:tc>
      </w:tr>
      <w:tr>
        <w:tc>
          <w:tcPr/>
          <w:p>
            <w:pPr>
              <w:pStyle w:val="Compact"/>
              <w:jc w:val="left"/>
            </w:pPr>
            <w:r>
              <w:t xml:space="preserve">Project closeout and as-built delivery</w:t>
            </w:r>
          </w:p>
        </w:tc>
        <w:tc>
          <w:tcPr/>
          <w:p>
            <w:pPr>
              <w:pStyle w:val="Compact"/>
              <w:jc w:val="left"/>
            </w:pPr>
            <w:r>
              <w:t xml:space="preserve">5%</w:t>
            </w:r>
          </w:p>
        </w:tc>
        <w:tc>
          <w:tcPr/>
          <w:p>
            <w:pPr>
              <w:pStyle w:val="Compact"/>
              <w:jc w:val="left"/>
            </w:pPr>
            <w:r>
              <w:t xml:space="preserve">$12,405,750</w:t>
            </w:r>
          </w:p>
        </w:tc>
      </w:tr>
    </w:tbl>
    <w:bookmarkEnd w:id="24"/>
    <w:bookmarkStart w:id="25" w:name="terms-and-conditions"/>
    <w:p>
      <w:pPr>
        <w:pStyle w:val="Heading2"/>
      </w:pPr>
      <w:r>
        <w:t xml:space="preserve">5. Terms and Conditions</w:t>
      </w:r>
    </w:p>
    <w:p>
      <w:pPr>
        <w:pStyle w:val="FirstParagraph"/>
      </w:pPr>
      <w:r>
        <w:rPr>
          <w:bCs/>
          <w:b/>
        </w:rPr>
        <w:t xml:space="preserve">5.1</w:t>
      </w:r>
      <w:r>
        <w:t xml:space="preserve"> </w:t>
      </w:r>
      <w:r>
        <w:t xml:space="preserve">This Quotation Estimate is valid for thirty (30) calendar days from the date of issue. After this period, the Architect firm reserves the right to revise pricing due to market fluctuations in Medellín, Colombia.</w:t>
      </w:r>
    </w:p>
    <w:p>
      <w:pPr>
        <w:pStyle w:val="BodyText"/>
      </w:pPr>
      <w:r>
        <w:rPr>
          <w:bCs/>
          <w:b/>
        </w:rPr>
        <w:t xml:space="preserve">5.2</w:t>
      </w:r>
      <w:r>
        <w:t xml:space="preserve"> </w:t>
      </w:r>
      <w:r>
        <w:t xml:space="preserve">All costs are quoted in Colombian Pesos (COP) and are inclusive of the Architect firm's professional liability insurance as required by Colombian law (Ley 1176 de 2007).</w:t>
      </w:r>
    </w:p>
    <w:p>
      <w:pPr>
        <w:pStyle w:val="BodyText"/>
      </w:pPr>
      <w:r>
        <w:rPr>
          <w:bCs/>
          <w:b/>
        </w:rPr>
        <w:t xml:space="preserve">5.3</w:t>
      </w:r>
      <w:r>
        <w:t xml:space="preserve"> </w:t>
      </w:r>
      <w:r>
        <w:t xml:space="preserve">The Architect shall comply with all applicable regulations of the Secretaría de Planeación de Medellín, the Código de Construcción de Medellín, NTC technical standards, and the environmental regulations of Corpoantioquia.</w:t>
      </w:r>
    </w:p>
    <w:p>
      <w:pPr>
        <w:pStyle w:val="BodyText"/>
      </w:pPr>
      <w:r>
        <w:rPr>
          <w:bCs/>
          <w:b/>
        </w:rPr>
        <w:t xml:space="preserve">5.4</w:t>
      </w:r>
      <w:r>
        <w:t xml:space="preserve"> </w:t>
      </w:r>
      <w:r>
        <w:t xml:space="preserve">Any changes to the scope of work requested by the client after the approval of the Conceptual Design phase shall be subject to a separate supplementary Quotation Estimate issued by the Architect.</w:t>
      </w:r>
    </w:p>
    <w:p>
      <w:pPr>
        <w:pStyle w:val="BodyText"/>
      </w:pPr>
      <w:r>
        <w:rPr>
          <w:bCs/>
          <w:b/>
        </w:rPr>
        <w:t xml:space="preserve">5.5</w:t>
      </w:r>
      <w:r>
        <w:t xml:space="preserve"> </w:t>
      </w:r>
      <w:r>
        <w:t xml:space="preserve">The Architect retains full intellectual property rights over all design documents, drawings, and 3D models produced under this engagement. The client receives a non-exclusive license to use the documents solely for the construction of the project in Medellín, Colombia.</w:t>
      </w:r>
    </w:p>
    <w:p>
      <w:pPr>
        <w:pStyle w:val="BodyText"/>
      </w:pPr>
      <w:r>
        <w:rPr>
          <w:bCs/>
          <w:b/>
        </w:rPr>
        <w:t xml:space="preserve">5.6</w:t>
      </w:r>
      <w:r>
        <w:t xml:space="preserve"> </w:t>
      </w:r>
      <w:r>
        <w:t xml:space="preserve">Disputes arising from this Quotation Estimate and the subsequent contract shall be resolved through arbitration in Medellín, Antioquia, in accordance with the rules of the Cámara de Comercio de Medellín.</w:t>
      </w:r>
    </w:p>
    <w:p>
      <w:pPr>
        <w:pStyle w:val="BodyText"/>
      </w:pPr>
      <w:r>
        <w:rPr>
          <w:bCs/>
          <w:b/>
        </w:rPr>
        <w:t xml:space="preserve">5.7</w:t>
      </w:r>
      <w:r>
        <w:t xml:space="preserve"> </w:t>
      </w:r>
      <w:r>
        <w:t xml:space="preserve">The Architect shall maintain professional confidentiality regarding all project information, site data, and client business details in full compliance with Colombian data protection law (Ley 1581 de 2012).</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and accept the terms, scope, and pricing outlined in this Quotation Estimate for the Architect services to be performed in Medellín, Colombia. This document, once countersigned, constitutes a binding agreement between the parties.</w:t>
      </w:r>
    </w:p>
    <w:p>
      <w:pPr>
        <w:pStyle w:val="BodyText"/>
      </w:pPr>
      <w:r>
        <w:rPr>
          <w:bCs/>
          <w:b/>
        </w:rPr>
        <w:t xml:space="preserve">For the Architect Firm</w:t>
      </w:r>
      <w:r>
        <w:br/>
      </w:r>
      <w:r>
        <w:t xml:space="preserve">Estudio Arquitectónico Valle del Aburrá S.A.S.</w:t>
      </w:r>
      <w:r>
        <w:br/>
      </w:r>
      <w:r>
        <w:t xml:space="preserve">Arq. Carolina Restrepo M.</w:t>
      </w:r>
      <w:r>
        <w:br/>
      </w:r>
      <w:r>
        <w:t xml:space="preserve">C.C. 1023456789 — Medellín, Colombia</w:t>
      </w:r>
      <w:r>
        <w:br/>
      </w:r>
      <w:r>
        <w:t xml:space="preserve">Date: _______________</w:t>
      </w:r>
    </w:p>
    <w:p>
      <w:pPr>
        <w:pStyle w:val="BodyText"/>
      </w:pPr>
      <w:r>
        <w:rPr>
          <w:bCs/>
          <w:b/>
        </w:rPr>
        <w:t xml:space="preserve">For the Client</w:t>
      </w:r>
      <w:r>
        <w:br/>
      </w:r>
      <w:r>
        <w:t xml:space="preserve">Constructora Los Andes S.A.S.</w:t>
      </w:r>
      <w:r>
        <w:br/>
      </w:r>
      <w:r>
        <w:t xml:space="preserve">Representative: _______________________</w:t>
      </w:r>
      <w:r>
        <w:br/>
      </w:r>
      <w:r>
        <w:t xml:space="preserve">C.C. / NIT: _______________________</w:t>
      </w:r>
      <w:r>
        <w:br/>
      </w:r>
      <w:r>
        <w:t xml:space="preserve">Date: _______________</w:t>
      </w:r>
    </w:p>
    <w:p>
      <w:pPr>
        <w:pStyle w:val="BodyText"/>
      </w:pPr>
      <w:r>
        <w:t xml:space="preserve">Quotation Estimate Ref: QTE-MDE-2025-0478  |  Estudio Arquitectónico Valle del Aburrá S.A.S. — Medellín, Colombia</w:t>
      </w:r>
      <w:r>
        <w:br/>
      </w:r>
      <w:r>
        <w:t xml:space="preserve">This document is generated for professional Architect services and is subject to the terms stated herein. © 2025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Architect Services - Medellín, Colombia</dc:title>
  <dc:creator/>
  <dc:language>en</dc:language>
  <cp:keywords/>
  <dcterms:created xsi:type="dcterms:W3CDTF">2026-10-10T04:33:55Z</dcterms:created>
  <dcterms:modified xsi:type="dcterms:W3CDTF">2026-10-10T04:33:55Z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