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rPr>
          <w:bCs/>
          <w:b/>
        </w:rPr>
        <w:t xml:space="preserve">Nile Horizon Architectural Design Studio</w:t>
      </w:r>
    </w:p>
    <w:p>
      <w:pPr>
        <w:pStyle w:val="BodyText"/>
      </w:pPr>
      <w:r>
        <w:t xml:space="preserve">12 Tahrir Square, Downtown District,</w:t>
      </w:r>
      <w:r>
        <w:t xml:space="preserve"> </w:t>
      </w:r>
      <w:r>
        <w:t xml:space="preserve">Egypt Cairo</w:t>
      </w:r>
      <w:r>
        <w:t xml:space="preserve">, 11511</w:t>
      </w:r>
    </w:p>
    <w:p>
      <w:pPr>
        <w:pStyle w:val="BodyText"/>
      </w:pPr>
      <w:r>
        <w:t xml:space="preserve">Tel: +20 2 2578 4432 | Email: info@nilehorizon-arch.com</w:t>
      </w:r>
    </w:p>
    <w:p>
      <w:pPr>
        <w:pStyle w:val="BodyText"/>
      </w:pPr>
      <w:r>
        <w:t xml:space="preserve">License No. CAIRO-ARCH-2019-0047 | Chamber of Engineers,</w:t>
      </w:r>
      <w:r>
        <w:t xml:space="preserve"> </w:t>
      </w:r>
      <w:r>
        <w:t xml:space="preserve">Egypt Cairo</w:t>
      </w:r>
      <w:r>
        <w:t xml:space="preserve"> </w:t>
      </w:r>
      <w:r>
        <w:t xml:space="preserve">Branch</w:t>
      </w:r>
    </w:p>
    <w:bookmarkEnd w:id="20"/>
    <w:p>
      <w:pPr>
        <w:pStyle w:val="BodyText"/>
      </w:pPr>
      <w:r>
        <w:rPr>
          <w:bCs/>
          <w:b/>
        </w:rPr>
        <w:t xml:space="preserve">Quotation Estimate No.:</w:t>
      </w:r>
      <w:r>
        <w:t xml:space="preserve"> </w:t>
      </w:r>
      <w:r>
        <w:t xml:space="preserve">QTE-2025-CAIRO-0847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br/>
      </w:r>
      <w:r>
        <w:t xml:space="preserve">Mr. Ahmed Hassan El-Sayed</w:t>
      </w:r>
      <w:r>
        <w:br/>
      </w:r>
      <w:r>
        <w:t xml:space="preserve">El-Sayed Real Estate Development Co.</w:t>
      </w:r>
      <w:r>
        <w:br/>
      </w:r>
      <w:r>
        <w:t xml:space="preserve">45 Corniche El-Nil, Zamalek,</w:t>
      </w:r>
      <w:r>
        <w:br/>
      </w:r>
      <w:r>
        <w:t xml:space="preserve">Egypt Cairo</w:t>
      </w:r>
      <w:r>
        <w:t xml:space="preserve">, 11211</w:t>
      </w:r>
      <w:r>
        <w:br/>
      </w:r>
      <w:r>
        <w:t xml:space="preserve">Tel: +20 100 555 7821</w:t>
      </w:r>
    </w:p>
    <w:bookmarkStart w:id="21" w:name="X997c361e3fffc2d58e164e7649985d50c7f54ff"/>
    <w:p>
      <w:pPr>
        <w:pStyle w:val="Heading2"/>
      </w:pPr>
      <w:r>
        <w:t xml:space="preserve">1. Project Overview &amp; Scope of Architectural Services</w:t>
      </w:r>
    </w:p>
    <w:p>
      <w:pPr>
        <w:pStyle w:val="FirstParagraph"/>
      </w:pPr>
      <w:r>
        <w:t xml:space="preserve">This</w:t>
      </w:r>
      <w:r>
        <w:t xml:space="preserve"> </w:t>
      </w:r>
      <w:r>
        <w:t xml:space="preserve">Quotation Estimate</w:t>
      </w:r>
      <w:r>
        <w:t xml:space="preserve"> </w:t>
      </w:r>
      <w:r>
        <w:t xml:space="preserve">is issued by Nile Horizon Architectural Design Studio, a licensed</w:t>
      </w:r>
      <w:r>
        <w:t xml:space="preserve"> </w:t>
      </w:r>
      <w:r>
        <w:t xml:space="preserve">Architect</w:t>
      </w:r>
      <w:r>
        <w:t xml:space="preserve"> </w:t>
      </w:r>
      <w:r>
        <w:t xml:space="preserve">firm registered with the Chamber of Engineers in</w:t>
      </w:r>
      <w:r>
        <w:t xml:space="preserve"> </w:t>
      </w:r>
      <w:r>
        <w:t xml:space="preserve">Egypt Cairo</w:t>
      </w:r>
      <w:r>
        <w:t xml:space="preserve">, in response to the client's request for comprehensive architectural design and consulting services. The project involves the design of a mixed-use residential and commercial complex comprising six (6) residential towers and a ground-level retail podium, situated on a 12,000 square meter plot in the New Cairo district,</w:t>
      </w:r>
      <w:r>
        <w:t xml:space="preserve"> </w:t>
      </w:r>
      <w:r>
        <w:t xml:space="preserve">Egypt Cairo</w:t>
      </w:r>
      <w:r>
        <w:t xml:space="preserve">. Our</w:t>
      </w:r>
      <w:r>
        <w:t xml:space="preserve"> </w:t>
      </w:r>
      <w:r>
        <w:t xml:space="preserve">Architect</w:t>
      </w:r>
      <w:r>
        <w:t xml:space="preserve"> </w:t>
      </w:r>
      <w:r>
        <w:t xml:space="preserve">team will deliver all phases of design documentation in full compliance with the Egyptian Building Code, the Cairo Governorate Zoning Regulations, and the standards set forth by the National Organization for Control of Technical Specifications (NACS) in</w:t>
      </w:r>
      <w:r>
        <w:t xml:space="preserve"> </w:t>
      </w:r>
      <w:r>
        <w:t xml:space="preserve">Egypt Cairo</w:t>
      </w:r>
      <w:r>
        <w:t xml:space="preserve">.</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Architect Service Description</w:t>
            </w:r>
          </w:p>
        </w:tc>
        <w:tc>
          <w:tcPr/>
          <w:p>
            <w:pPr>
              <w:pStyle w:val="Compact"/>
              <w:jc w:val="left"/>
            </w:pPr>
            <w:r>
              <w:t xml:space="preserve">Phase / Deliverable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Site survey, topographic analysis, and feasibility study for the</w:t>
            </w:r>
            <w:r>
              <w:t xml:space="preserve"> </w:t>
            </w:r>
            <w:r>
              <w:t xml:space="preserve">Egypt Cairo</w:t>
            </w:r>
            <w:r>
              <w:t xml:space="preserve"> </w:t>
            </w:r>
            <w:r>
              <w:t xml:space="preserve">plot, including solar orientation and wind pattern assessment specific to the Cairo climate</w:t>
            </w:r>
          </w:p>
        </w:tc>
        <w:tc>
          <w:tcPr/>
          <w:p>
            <w:pPr>
              <w:pStyle w:val="Compact"/>
              <w:jc w:val="left"/>
            </w:pPr>
            <w:r>
              <w:t xml:space="preserve">Pre-Design</w:t>
            </w:r>
          </w:p>
        </w:tc>
        <w:tc>
          <w:tcPr/>
          <w:p>
            <w:pPr>
              <w:pStyle w:val="Compact"/>
              <w:jc w:val="left"/>
            </w:pPr>
            <w:r>
              <w:t xml:space="preserve">3 weeks</w:t>
            </w:r>
          </w:p>
        </w:tc>
        <w:tc>
          <w:tcPr/>
          <w:p>
            <w:pPr>
              <w:pStyle w:val="Compact"/>
              <w:jc w:val="left"/>
            </w:pPr>
            <w:r>
              <w:t xml:space="preserve">Lump Sum</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Conceptual design development by the lead</w:t>
            </w:r>
            <w:r>
              <w:t xml:space="preserve"> </w:t>
            </w:r>
            <w:r>
              <w:t xml:space="preserve">Architect</w:t>
            </w:r>
            <w:r>
              <w:t xml:space="preserve">, including massing studies, 3D renderings, and two (2) alternative design schemes for client review</w:t>
            </w:r>
          </w:p>
        </w:tc>
        <w:tc>
          <w:tcPr/>
          <w:p>
            <w:pPr>
              <w:pStyle w:val="Compact"/>
              <w:jc w:val="left"/>
            </w:pPr>
            <w:r>
              <w:t xml:space="preserve">Concept Design</w:t>
            </w:r>
          </w:p>
        </w:tc>
        <w:tc>
          <w:tcPr/>
          <w:p>
            <w:pPr>
              <w:pStyle w:val="Compact"/>
              <w:jc w:val="left"/>
            </w:pPr>
            <w:r>
              <w:t xml:space="preserve">6 weeks</w:t>
            </w:r>
          </w:p>
        </w:tc>
        <w:tc>
          <w:tcPr/>
          <w:p>
            <w:pPr>
              <w:pStyle w:val="Compact"/>
              <w:jc w:val="left"/>
            </w:pPr>
            <w:r>
              <w:t xml:space="preserve">Lump Sum</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Schematic design documentation: floor plans, elevations, sections, and structural coordination drawings for all six towers and the retail podium</w:t>
            </w:r>
          </w:p>
        </w:tc>
        <w:tc>
          <w:tcPr/>
          <w:p>
            <w:pPr>
              <w:pStyle w:val="Compact"/>
              <w:jc w:val="left"/>
            </w:pPr>
            <w:r>
              <w:t xml:space="preserve">Schematic Design</w:t>
            </w:r>
          </w:p>
        </w:tc>
        <w:tc>
          <w:tcPr/>
          <w:p>
            <w:pPr>
              <w:pStyle w:val="Compact"/>
              <w:jc w:val="left"/>
            </w:pPr>
            <w:r>
              <w:t xml:space="preserve">8 weeks</w:t>
            </w:r>
          </w:p>
        </w:tc>
        <w:tc>
          <w:tcPr/>
          <w:p>
            <w:pPr>
              <w:pStyle w:val="Compact"/>
              <w:jc w:val="left"/>
            </w:pPr>
            <w:r>
              <w:t xml:space="preserve">Lump Sum</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Detailed architectural design and construction documentation package, including specifications, material schedules, and MEP coordination, prepared to</w:t>
            </w:r>
            <w:r>
              <w:t xml:space="preserve"> </w:t>
            </w:r>
            <w:r>
              <w:t xml:space="preserve">Egypt Cairo</w:t>
            </w:r>
            <w:r>
              <w:t xml:space="preserve"> </w:t>
            </w:r>
            <w:r>
              <w:t xml:space="preserve">municipal submission standards</w:t>
            </w:r>
          </w:p>
        </w:tc>
        <w:tc>
          <w:tcPr/>
          <w:p>
            <w:pPr>
              <w:pStyle w:val="Compact"/>
              <w:jc w:val="left"/>
            </w:pPr>
            <w:r>
              <w:t xml:space="preserve">Design Development</w:t>
            </w:r>
          </w:p>
        </w:tc>
        <w:tc>
          <w:tcPr/>
          <w:p>
            <w:pPr>
              <w:pStyle w:val="Compact"/>
              <w:jc w:val="left"/>
            </w:pPr>
            <w:r>
              <w:t xml:space="preserve">12 weeks</w:t>
            </w:r>
          </w:p>
        </w:tc>
        <w:tc>
          <w:tcPr/>
          <w:p>
            <w:pPr>
              <w:pStyle w:val="Compact"/>
              <w:jc w:val="left"/>
            </w:pPr>
            <w:r>
              <w:t xml:space="preserve">Lump Sum</w:t>
            </w:r>
          </w:p>
        </w:tc>
        <w:tc>
          <w:tcPr/>
          <w:p>
            <w:pPr>
              <w:pStyle w:val="Compact"/>
              <w:jc w:val="left"/>
            </w:pPr>
            <w:r>
              <w:t xml:space="preserve">680,000</w:t>
            </w:r>
          </w:p>
        </w:tc>
      </w:tr>
      <w:tr>
        <w:tc>
          <w:tcPr/>
          <w:p>
            <w:pPr>
              <w:pStyle w:val="Compact"/>
              <w:jc w:val="left"/>
            </w:pPr>
            <w:r>
              <w:t xml:space="preserve">5</w:t>
            </w:r>
          </w:p>
        </w:tc>
        <w:tc>
          <w:tcPr/>
          <w:p>
            <w:pPr>
              <w:pStyle w:val="Compact"/>
              <w:jc w:val="left"/>
            </w:pPr>
            <w:r>
              <w:t xml:space="preserve">Construction drawings and tender documentation: 1:50 and 1:100 scale drawings, door and window schedules, finish schedules, and quantity take-off for contractor bidding</w:t>
            </w:r>
          </w:p>
        </w:tc>
        <w:tc>
          <w:tcPr/>
          <w:p>
            <w:pPr>
              <w:pStyle w:val="Compact"/>
              <w:jc w:val="left"/>
            </w:pPr>
            <w:r>
              <w:t xml:space="preserve">Construction Docs</w:t>
            </w:r>
          </w:p>
        </w:tc>
        <w:tc>
          <w:tcPr/>
          <w:p>
            <w:pPr>
              <w:pStyle w:val="Compact"/>
              <w:jc w:val="left"/>
            </w:pPr>
            <w:r>
              <w:t xml:space="preserve">10 weeks</w:t>
            </w:r>
          </w:p>
        </w:tc>
        <w:tc>
          <w:tcPr/>
          <w:p>
            <w:pPr>
              <w:pStyle w:val="Compact"/>
              <w:jc w:val="left"/>
            </w:pPr>
            <w:r>
              <w:t xml:space="preserve">Lump Sum</w:t>
            </w:r>
          </w:p>
        </w:tc>
        <w:tc>
          <w:tcPr/>
          <w:p>
            <w:pPr>
              <w:pStyle w:val="Compact"/>
              <w:jc w:val="left"/>
            </w:pPr>
            <w:r>
              <w:t xml:space="preserve">520,000</w:t>
            </w:r>
          </w:p>
        </w:tc>
      </w:tr>
      <w:tr>
        <w:tc>
          <w:tcPr/>
          <w:p>
            <w:pPr>
              <w:pStyle w:val="Compact"/>
              <w:jc w:val="left"/>
            </w:pPr>
            <w:r>
              <w:t xml:space="preserve">6</w:t>
            </w:r>
          </w:p>
        </w:tc>
        <w:tc>
          <w:tcPr/>
          <w:p>
            <w:pPr>
              <w:pStyle w:val="Compact"/>
              <w:jc w:val="left"/>
            </w:pPr>
            <w:r>
              <w:t xml:space="preserve">Permit application support: preparation and submission of all architectural drawings to the Cairo Governorate Building Permits Office, including revisions required by the</w:t>
            </w:r>
            <w:r>
              <w:t xml:space="preserve"> </w:t>
            </w:r>
            <w:r>
              <w:t xml:space="preserve">Egypt Cairo</w:t>
            </w:r>
            <w:r>
              <w:t xml:space="preserve"> </w:t>
            </w:r>
            <w:r>
              <w:t xml:space="preserve">review committee</w:t>
            </w:r>
          </w:p>
        </w:tc>
        <w:tc>
          <w:tcPr/>
          <w:p>
            <w:pPr>
              <w:pStyle w:val="Compact"/>
              <w:jc w:val="left"/>
            </w:pPr>
            <w:r>
              <w:t xml:space="preserve">Permitting</w:t>
            </w:r>
          </w:p>
        </w:tc>
        <w:tc>
          <w:tcPr/>
          <w:p>
            <w:pPr>
              <w:pStyle w:val="Compact"/>
              <w:jc w:val="left"/>
            </w:pPr>
            <w:r>
              <w:t xml:space="preserve">6 weeks</w:t>
            </w:r>
          </w:p>
        </w:tc>
        <w:tc>
          <w:tcPr/>
          <w:p>
            <w:pPr>
              <w:pStyle w:val="Compact"/>
              <w:jc w:val="left"/>
            </w:pPr>
            <w:r>
              <w:t xml:space="preserve">Lump Sum</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Construction-phase</w:t>
            </w:r>
            <w:r>
              <w:t xml:space="preserve"> </w:t>
            </w:r>
            <w:r>
              <w:t xml:space="preserve">Architect</w:t>
            </w:r>
            <w:r>
              <w:t xml:space="preserve"> </w:t>
            </w:r>
            <w:r>
              <w:t xml:space="preserve">supervision: monthly site inspections, design queries resolution, as-built documentation, and punch-list management throughout the 24-month construction period</w:t>
            </w:r>
          </w:p>
        </w:tc>
        <w:tc>
          <w:tcPr/>
          <w:p>
            <w:pPr>
              <w:pStyle w:val="Compact"/>
              <w:jc w:val="left"/>
            </w:pPr>
            <w:r>
              <w:t xml:space="preserve">Construction Admin</w:t>
            </w:r>
          </w:p>
        </w:tc>
        <w:tc>
          <w:tcPr/>
          <w:p>
            <w:pPr>
              <w:pStyle w:val="Compact"/>
              <w:jc w:val="left"/>
            </w:pPr>
            <w:r>
              <w:t xml:space="preserve">24 months</w:t>
            </w:r>
          </w:p>
        </w:tc>
        <w:tc>
          <w:tcPr/>
          <w:p>
            <w:pPr>
              <w:pStyle w:val="Compact"/>
              <w:jc w:val="left"/>
            </w:pPr>
            <w:r>
              <w:t xml:space="preserve">Monthly</w:t>
            </w:r>
          </w:p>
        </w:tc>
        <w:tc>
          <w:tcPr/>
          <w:p>
            <w:pPr>
              <w:pStyle w:val="Compact"/>
              <w:jc w:val="left"/>
            </w:pPr>
            <w:r>
              <w:t xml:space="preserve">48,000 / mo</w:t>
            </w:r>
          </w:p>
        </w:tc>
      </w:tr>
      <w:tr>
        <w:tc>
          <w:tcPr/>
          <w:p>
            <w:pPr>
              <w:pStyle w:val="Compact"/>
              <w:jc w:val="left"/>
            </w:pPr>
            <w:r>
              <w:t xml:space="preserve">8</w:t>
            </w:r>
          </w:p>
        </w:tc>
        <w:tc>
          <w:tcPr/>
          <w:p>
            <w:pPr>
              <w:pStyle w:val="Compact"/>
              <w:jc w:val="left"/>
            </w:pPr>
            <w:r>
              <w:t xml:space="preserve">Interior design concept for the retail podium and lobby areas, including furniture layout, lighting design, and material palette selection aligned with</w:t>
            </w:r>
            <w:r>
              <w:t xml:space="preserve"> </w:t>
            </w:r>
            <w:r>
              <w:t xml:space="preserve">Egypt Cairo</w:t>
            </w:r>
            <w:r>
              <w:t xml:space="preserve"> </w:t>
            </w:r>
            <w:r>
              <w:t xml:space="preserve">aesthetic standards</w:t>
            </w:r>
          </w:p>
        </w:tc>
        <w:tc>
          <w:tcPr/>
          <w:p>
            <w:pPr>
              <w:pStyle w:val="Compact"/>
              <w:jc w:val="left"/>
            </w:pPr>
            <w:r>
              <w:t xml:space="preserve">Interior Design</w:t>
            </w:r>
          </w:p>
        </w:tc>
        <w:tc>
          <w:tcPr/>
          <w:p>
            <w:pPr>
              <w:pStyle w:val="Compact"/>
              <w:jc w:val="left"/>
            </w:pPr>
            <w:r>
              <w:t xml:space="preserve">8 weeks</w:t>
            </w:r>
          </w:p>
        </w:tc>
        <w:tc>
          <w:tcPr/>
          <w:p>
            <w:pPr>
              <w:pStyle w:val="Compact"/>
              <w:jc w:val="left"/>
            </w:pPr>
            <w:r>
              <w:t xml:space="preserve">Lump Sum</w:t>
            </w:r>
          </w:p>
        </w:tc>
        <w:tc>
          <w:tcPr/>
          <w:p>
            <w:pPr>
              <w:pStyle w:val="Compact"/>
              <w:jc w:val="left"/>
            </w:pPr>
            <w:r>
              <w:t xml:space="preserve">275,000</w:t>
            </w:r>
          </w:p>
        </w:tc>
      </w:tr>
      <w:tr>
        <w:tc>
          <w:tcPr/>
          <w:p>
            <w:pPr>
              <w:pStyle w:val="Compact"/>
              <w:jc w:val="left"/>
            </w:pPr>
            <w:r>
              <w:t xml:space="preserve">9</w:t>
            </w:r>
          </w:p>
        </w:tc>
        <w:tc>
          <w:tcPr/>
          <w:p>
            <w:pPr>
              <w:pStyle w:val="Compact"/>
              <w:jc w:val="left"/>
            </w:pPr>
            <w:r>
              <w:t xml:space="preserve">Landscape and external works design: parking layout, pedestrian pathways, green areas, and irrigation plan compliant with New Cairo urban planning guidelines</w:t>
            </w:r>
          </w:p>
        </w:tc>
        <w:tc>
          <w:tcPr/>
          <w:p>
            <w:pPr>
              <w:pStyle w:val="Compact"/>
              <w:jc w:val="left"/>
            </w:pPr>
            <w:r>
              <w:t xml:space="preserve">Landscape Design</w:t>
            </w:r>
          </w:p>
        </w:tc>
        <w:tc>
          <w:tcPr/>
          <w:p>
            <w:pPr>
              <w:pStyle w:val="Compact"/>
              <w:jc w:val="left"/>
            </w:pPr>
            <w:r>
              <w:t xml:space="preserve">5 weeks</w:t>
            </w:r>
          </w:p>
        </w:tc>
        <w:tc>
          <w:tcPr/>
          <w:p>
            <w:pPr>
              <w:pStyle w:val="Compact"/>
              <w:jc w:val="left"/>
            </w:pPr>
            <w:r>
              <w:t xml:space="preserve">Lump Sum</w:t>
            </w:r>
          </w:p>
        </w:tc>
        <w:tc>
          <w:tcPr/>
          <w:p>
            <w:pPr>
              <w:pStyle w:val="Compact"/>
              <w:jc w:val="left"/>
            </w:pPr>
            <w:r>
              <w:t xml:space="preserve">145,000</w:t>
            </w:r>
          </w:p>
        </w:tc>
      </w:tr>
      <w:tr>
        <w:tc>
          <w:tcPr/>
          <w:p>
            <w:pPr>
              <w:pStyle w:val="Compact"/>
              <w:jc w:val="left"/>
            </w:pPr>
            <w:r>
              <w:t xml:space="preserve">10</w:t>
            </w:r>
          </w:p>
        </w:tc>
        <w:tc>
          <w:tcPr/>
          <w:p>
            <w:pPr>
              <w:pStyle w:val="Compact"/>
              <w:jc w:val="left"/>
            </w:pPr>
            <w:r>
              <w:t xml:space="preserve">Project management coordination: weekly progress meetings, design change order processing, and final handover documentation package</w:t>
            </w:r>
          </w:p>
        </w:tc>
        <w:tc>
          <w:tcPr/>
          <w:p>
            <w:pPr>
              <w:pStyle w:val="Compact"/>
              <w:jc w:val="left"/>
            </w:pPr>
            <w:r>
              <w:t xml:space="preserve">PM Coordination</w:t>
            </w:r>
          </w:p>
        </w:tc>
        <w:tc>
          <w:tcPr/>
          <w:p>
            <w:pPr>
              <w:pStyle w:val="Compact"/>
              <w:jc w:val="left"/>
            </w:pPr>
            <w:r>
              <w:t xml:space="preserve">Full project</w:t>
            </w:r>
          </w:p>
        </w:tc>
        <w:tc>
          <w:tcPr/>
          <w:p>
            <w:pPr>
              <w:pStyle w:val="Compact"/>
              <w:jc w:val="left"/>
            </w:pPr>
            <w:r>
              <w:t xml:space="preserve">Lump Sum</w:t>
            </w:r>
          </w:p>
        </w:tc>
        <w:tc>
          <w:tcPr/>
          <w:p>
            <w:pPr>
              <w:pStyle w:val="Compact"/>
              <w:jc w:val="left"/>
            </w:pPr>
            <w:r>
              <w:t xml:space="preserve">195,000</w:t>
            </w:r>
          </w:p>
        </w:tc>
      </w:tr>
      <w:tr>
        <w:tc>
          <w:tcPr>
            <w:gridSpan w:val="5"/>
          </w:tcPr>
          <w:p>
            <w:pPr>
              <w:pStyle w:val="Compact"/>
              <w:jc w:val="left"/>
            </w:pPr>
            <w:r>
              <w:t xml:space="preserve">TOTAL QUOTATION ESTIMATE (EGP)</w:t>
            </w:r>
          </w:p>
        </w:tc>
        <w:tc>
          <w:tcPr/>
          <w:p>
            <w:pPr>
              <w:pStyle w:val="Compact"/>
              <w:jc w:val="left"/>
            </w:pPr>
            <w:r>
              <w:t xml:space="preserve">3,895,000</w:t>
            </w:r>
          </w:p>
        </w:tc>
      </w:tr>
    </w:tbl>
    <w:bookmarkEnd w:id="22"/>
    <w:bookmarkStart w:id="23" w:name="payment-schedule"/>
    <w:p>
      <w:pPr>
        <w:pStyle w:val="Heading2"/>
      </w:pPr>
      <w:r>
        <w:t xml:space="preserve">3. Payment Schedule</w:t>
      </w:r>
    </w:p>
    <w:p>
      <w:pPr>
        <w:pStyle w:val="FirstParagraph"/>
      </w:pPr>
      <w:r>
        <w:t xml:space="preserve">This</w:t>
      </w:r>
      <w:r>
        <w:t xml:space="preserve"> </w:t>
      </w:r>
      <w:r>
        <w:t xml:space="preserve">Quotation Estimate</w:t>
      </w:r>
      <w:r>
        <w:t xml:space="preserve"> </w:t>
      </w:r>
      <w:r>
        <w:t xml:space="preserve">for</w:t>
      </w:r>
      <w:r>
        <w:t xml:space="preserve"> </w:t>
      </w:r>
      <w:r>
        <w:t xml:space="preserve">Architect</w:t>
      </w:r>
      <w:r>
        <w:t xml:space="preserve"> </w:t>
      </w:r>
      <w:r>
        <w:t xml:space="preserve">services in</w:t>
      </w:r>
      <w:r>
        <w:t xml:space="preserve"> </w:t>
      </w:r>
      <w:r>
        <w:t xml:space="preserve">Egypt Cairo</w:t>
      </w:r>
      <w:r>
        <w:t xml:space="preserve"> </w:t>
      </w:r>
      <w:r>
        <w:t xml:space="preserve">shall be paid according to the following milestone-based schedule:</w:t>
      </w:r>
    </w:p>
    <w:p>
      <w:pPr>
        <w:numPr>
          <w:ilvl w:val="0"/>
          <w:numId w:val="1001"/>
        </w:numPr>
        <w:pStyle w:val="Compact"/>
      </w:pPr>
      <w:r>
        <w:rPr>
          <w:bCs/>
          <w:b/>
        </w:rPr>
        <w:t xml:space="preserve">15%</w:t>
      </w:r>
      <w:r>
        <w:t xml:space="preserve"> </w:t>
      </w:r>
      <w:r>
        <w:t xml:space="preserve">upon signing of the Architectural Services Agreement (EGP 584,250)</w:t>
      </w:r>
    </w:p>
    <w:p>
      <w:pPr>
        <w:numPr>
          <w:ilvl w:val="0"/>
          <w:numId w:val="1001"/>
        </w:numPr>
        <w:pStyle w:val="Compact"/>
      </w:pPr>
      <w:r>
        <w:rPr>
          <w:bCs/>
          <w:b/>
        </w:rPr>
        <w:t xml:space="preserve">20%</w:t>
      </w:r>
      <w:r>
        <w:t xml:space="preserve"> </w:t>
      </w:r>
      <w:r>
        <w:t xml:space="preserve">upon approval of the Concept Design phase (EGP 779,000)</w:t>
      </w:r>
    </w:p>
    <w:p>
      <w:pPr>
        <w:numPr>
          <w:ilvl w:val="0"/>
          <w:numId w:val="1001"/>
        </w:numPr>
        <w:pStyle w:val="Compact"/>
      </w:pPr>
      <w:r>
        <w:rPr>
          <w:bCs/>
          <w:b/>
        </w:rPr>
        <w:t xml:space="preserve">25%</w:t>
      </w:r>
      <w:r>
        <w:t xml:space="preserve"> </w:t>
      </w:r>
      <w:r>
        <w:t xml:space="preserve">upon submission of Schematic and Design Development documentation (EGP 973,750)</w:t>
      </w:r>
    </w:p>
    <w:p>
      <w:pPr>
        <w:numPr>
          <w:ilvl w:val="0"/>
          <w:numId w:val="1001"/>
        </w:numPr>
        <w:pStyle w:val="Compact"/>
      </w:pPr>
      <w:r>
        <w:rPr>
          <w:bCs/>
          <w:b/>
        </w:rPr>
        <w:t xml:space="preserve">20%</w:t>
      </w:r>
      <w:r>
        <w:t xml:space="preserve"> </w:t>
      </w:r>
      <w:r>
        <w:t xml:space="preserve">upon issuance of Construction Drawings and tender package (EGP 779,000)</w:t>
      </w:r>
    </w:p>
    <w:p>
      <w:pPr>
        <w:numPr>
          <w:ilvl w:val="0"/>
          <w:numId w:val="1001"/>
        </w:numPr>
        <w:pStyle w:val="Compact"/>
      </w:pPr>
      <w:r>
        <w:rPr>
          <w:bCs/>
          <w:b/>
        </w:rPr>
        <w:t xml:space="preserve">10%</w:t>
      </w:r>
      <w:r>
        <w:t xml:space="preserve"> </w:t>
      </w:r>
      <w:r>
        <w:t xml:space="preserve">upon successful building permit approval by the</w:t>
      </w:r>
      <w:r>
        <w:t xml:space="preserve"> </w:t>
      </w:r>
      <w:r>
        <w:t xml:space="preserve">Egypt Cairo</w:t>
      </w:r>
      <w:r>
        <w:t xml:space="preserve"> </w:t>
      </w:r>
      <w:r>
        <w:t xml:space="preserve">Governorate (EGP 389,500)</w:t>
      </w:r>
    </w:p>
    <w:p>
      <w:pPr>
        <w:numPr>
          <w:ilvl w:val="0"/>
          <w:numId w:val="1001"/>
        </w:numPr>
        <w:pStyle w:val="Compact"/>
      </w:pPr>
      <w:r>
        <w:rPr>
          <w:bCs/>
          <w:b/>
        </w:rPr>
        <w:t xml:space="preserve">10%</w:t>
      </w:r>
      <w:r>
        <w:t xml:space="preserve"> </w:t>
      </w:r>
      <w:r>
        <w:t xml:space="preserve">distributed monthly during the Construction Administration phase (EGP 38,950 per month)</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Any</w:t>
      </w:r>
      <w:r>
        <w:t xml:space="preserve"> </w:t>
      </w:r>
      <w:r>
        <w:t xml:space="preserve">Architect</w:t>
      </w:r>
      <w:r>
        <w:t xml:space="preserve"> </w:t>
      </w:r>
      <w:r>
        <w:t xml:space="preserve">services not commenced within this period will require a revised quotation.</w:t>
      </w:r>
    </w:p>
    <w:p>
      <w:pPr>
        <w:numPr>
          <w:ilvl w:val="0"/>
          <w:numId w:val="1002"/>
        </w:numPr>
        <w:pStyle w:val="Compact"/>
      </w:pPr>
      <w:r>
        <w:t xml:space="preserve">All prices are quoted in Egyptian Pounds (EGP) and are exclusive of Value Added Tax (VAT) at the prevailing rate of 14% as per the Egyptian Tax Authority regulations applicable in</w:t>
      </w:r>
      <w:r>
        <w:t xml:space="preserve"> </w:t>
      </w:r>
      <w:r>
        <w:t xml:space="preserve">Egypt Cairo</w:t>
      </w:r>
      <w:r>
        <w:t xml:space="preserve">.</w:t>
      </w:r>
    </w:p>
    <w:p>
      <w:pPr>
        <w:numPr>
          <w:ilvl w:val="0"/>
          <w:numId w:val="1002"/>
        </w:numPr>
        <w:pStyle w:val="Compact"/>
      </w:pPr>
      <w:r>
        <w:t xml:space="preserve">The</w:t>
      </w:r>
      <w:r>
        <w:t xml:space="preserve"> </w:t>
      </w:r>
      <w:r>
        <w:t xml:space="preserve">Architect</w:t>
      </w:r>
      <w:r>
        <w:t xml:space="preserve"> </w:t>
      </w:r>
      <w:r>
        <w:t xml:space="preserve">firm reserves the right to adjust the</w:t>
      </w:r>
      <w:r>
        <w:t xml:space="preserve"> </w:t>
      </w:r>
      <w:r>
        <w:t xml:space="preserve">Quotation Estimate</w:t>
      </w:r>
      <w:r>
        <w:t xml:space="preserve"> </w:t>
      </w:r>
      <w:r>
        <w:t xml:space="preserve">in the event of scope changes exceeding 10% of the originally agreed deliverables.</w:t>
      </w:r>
    </w:p>
    <w:p>
      <w:pPr>
        <w:numPr>
          <w:ilvl w:val="0"/>
          <w:numId w:val="1002"/>
        </w:numPr>
        <w:pStyle w:val="Compact"/>
      </w:pPr>
      <w:r>
        <w:t xml:space="preserve">All intellectual property rights over the architectural designs, drawings, and documentation produced by our</w:t>
      </w:r>
      <w:r>
        <w:t xml:space="preserve"> </w:t>
      </w:r>
      <w:r>
        <w:t xml:space="preserve">Architect</w:t>
      </w:r>
      <w:r>
        <w:t xml:space="preserve"> </w:t>
      </w:r>
      <w:r>
        <w:t xml:space="preserve">team shall remain with Nile Horizon Architectural Design Studio until full payment is received.</w:t>
      </w:r>
    </w:p>
    <w:p>
      <w:pPr>
        <w:numPr>
          <w:ilvl w:val="0"/>
          <w:numId w:val="1002"/>
        </w:numPr>
        <w:pStyle w:val="Compact"/>
      </w:pPr>
      <w:r>
        <w:t xml:space="preserve">The client agrees to provide timely access to the project site in</w:t>
      </w:r>
      <w:r>
        <w:t xml:space="preserve"> </w:t>
      </w:r>
      <w:r>
        <w:t xml:space="preserve">Egypt Cairo</w:t>
      </w:r>
      <w:r>
        <w:t xml:space="preserve"> </w:t>
      </w:r>
      <w:r>
        <w:t xml:space="preserve">and to supply all necessary existing survey data, utility maps, and geotechnical reports within five (5) business days of the project kickoff.</w:t>
      </w:r>
    </w:p>
    <w:p>
      <w:pPr>
        <w:numPr>
          <w:ilvl w:val="0"/>
          <w:numId w:val="1002"/>
        </w:numPr>
        <w:pStyle w:val="Compact"/>
      </w:pPr>
      <w:r>
        <w:t xml:space="preserve">Disputes arising from this</w:t>
      </w:r>
      <w:r>
        <w:t xml:space="preserve"> </w:t>
      </w:r>
      <w:r>
        <w:t xml:space="preserve">Quotation Estimate</w:t>
      </w:r>
      <w:r>
        <w:t xml:space="preserve"> </w:t>
      </w:r>
      <w:r>
        <w:t xml:space="preserve">or the subsequent Architectural Services Agreement shall be resolved through arbitration in accordance with the rules of the Egyptian Arbitration Center, with the seat of arbitration in</w:t>
      </w:r>
      <w:r>
        <w:t xml:space="preserve"> </w:t>
      </w:r>
      <w:r>
        <w:t xml:space="preserve">Egypt Cairo</w:t>
      </w:r>
      <w:r>
        <w:t xml:space="preserve">.</w:t>
      </w:r>
    </w:p>
    <w:p>
      <w:pPr>
        <w:numPr>
          <w:ilvl w:val="0"/>
          <w:numId w:val="1002"/>
        </w:numPr>
        <w:pStyle w:val="Compact"/>
      </w:pPr>
      <w:r>
        <w:t xml:space="preserve">Force majeure events, including but not limited to government-mandated shutdowns, natural disasters, or changes in</w:t>
      </w:r>
      <w:r>
        <w:t xml:space="preserve"> </w:t>
      </w:r>
      <w:r>
        <w:t xml:space="preserve">Egypt Cairo</w:t>
      </w:r>
      <w:r>
        <w:t xml:space="preserve"> </w:t>
      </w:r>
      <w:r>
        <w:t xml:space="preserve">building regulations, shall extend the project timeline proportionally without penalty to either party.</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Architect</w:t>
      </w:r>
      <w:r>
        <w:t xml:space="preserve"> </w:t>
      </w:r>
      <w:r>
        <w:t xml:space="preserve">services in</w:t>
      </w:r>
      <w:r>
        <w:t xml:space="preserve"> </w:t>
      </w:r>
      <w:r>
        <w:t xml:space="preserve">Egypt Cairo</w:t>
      </w:r>
      <w:r>
        <w:t xml:space="preserve"> </w:t>
      </w:r>
      <w:r>
        <w:t xml:space="preserve">and agrees to the terms, conditions, and pricing outlined herein. This signature constitutes a binding acceptance of the</w:t>
      </w:r>
      <w:r>
        <w:t xml:space="preserve"> </w:t>
      </w:r>
      <w:r>
        <w:t xml:space="preserve">Quotation Estimate</w:t>
      </w:r>
      <w:r>
        <w:t xml:space="preserve"> </w:t>
      </w:r>
      <w:r>
        <w:t xml:space="preserve">and authorizes Nile Horizon Architectural Design Studio to commence the Pre-Design phase.</w:t>
      </w:r>
    </w:p>
    <w:p>
      <w:pPr>
        <w:pStyle w:val="BodyText"/>
      </w:pPr>
      <w:r>
        <w:rPr>
          <w:bCs/>
          <w:b/>
        </w:rPr>
        <w:t xml:space="preserve">For Nile Horizon Architectural Design Studio</w:t>
      </w:r>
      <w:r>
        <w:br/>
      </w:r>
      <w:r>
        <w:t xml:space="preserve">Lead Architect / Authorized Signatory</w:t>
      </w:r>
      <w:r>
        <w:br/>
      </w:r>
      <w:r>
        <w:t xml:space="preserve">Name: Eng. Mona Fathy Abdel-Rahman</w:t>
      </w:r>
      <w:r>
        <w:br/>
      </w:r>
      <w:r>
        <w:t xml:space="preserve">License: CAIRO-ARCH-2019-0047</w:t>
      </w:r>
      <w:r>
        <w:br/>
      </w:r>
      <w:r>
        <w:t xml:space="preserve">Date: _______________</w:t>
      </w:r>
    </w:p>
    <w:p>
      <w:pPr>
        <w:pStyle w:val="BodyText"/>
      </w:pPr>
      <w:r>
        <w:rPr>
          <w:bCs/>
          <w:b/>
        </w:rPr>
        <w:t xml:space="preserve">For El-Sayed Real Estate Development Co.</w:t>
      </w:r>
      <w:r>
        <w:br/>
      </w:r>
      <w:r>
        <w:t xml:space="preserve">Authorized Representative</w:t>
      </w:r>
      <w:r>
        <w:br/>
      </w:r>
      <w:r>
        <w:t xml:space="preserve">Name: Mr. Ahmed Hassan El-Sayed</w:t>
      </w:r>
      <w:r>
        <w:br/>
      </w:r>
      <w:r>
        <w:t xml:space="preserve">Title: Managing Director</w:t>
      </w:r>
      <w:r>
        <w:br/>
      </w:r>
      <w:r>
        <w:t xml:space="preserve">Date: _______________</w:t>
      </w:r>
    </w:p>
    <w:p>
      <w:pPr>
        <w:pStyle w:val="BodyText"/>
      </w:pPr>
      <w:r>
        <w:t xml:space="preserve">Nile Horizon Architectural Design Studio | 12 Tahrir Square, Downtown,</w:t>
      </w:r>
      <w:r>
        <w:t xml:space="preserve"> </w:t>
      </w:r>
      <w:r>
        <w:t xml:space="preserve">Egypt Cairo</w:t>
      </w:r>
      <w:r>
        <w:t xml:space="preserve"> </w:t>
      </w:r>
      <w:r>
        <w:t xml:space="preserve">11511 | CR: 184729 | Tax ID: 552-884-102</w:t>
      </w:r>
    </w:p>
    <w:p>
      <w:pPr>
        <w:pStyle w:val="BodyText"/>
      </w:pPr>
      <w:r>
        <w:t xml:space="preserve">This</w:t>
      </w:r>
      <w:r>
        <w:t xml:space="preserve"> </w:t>
      </w:r>
      <w:r>
        <w:t xml:space="preserve">Quotation Estimate</w:t>
      </w:r>
      <w:r>
        <w:t xml:space="preserve"> </w:t>
      </w:r>
      <w:r>
        <w:t xml:space="preserve">document is generated electronically and is valid without a physical stamp. Reference: QTE-2025-CAIRO-0847</w:t>
      </w:r>
    </w:p>
    <w:p>
      <w:pPr>
        <w:pStyle w:val="BodyText"/>
      </w:pPr>
      <w:r>
        <w:t xml:space="preserve">© 2025 Nile Horizon Architectural Design Studio.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Egypt Cairo</dc:title>
  <dc:creator/>
  <dc:language>en</dc:language>
  <cp:keywords/>
  <dcterms:created xsi:type="dcterms:W3CDTF">2026-10-10T02:27:31Z</dcterms:created>
  <dcterms:modified xsi:type="dcterms:W3CDTF">2026-10-10T02:27:31Z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