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Architect Services — France Lyon</w:t>
      </w:r>
    </w:p>
    <w:bookmarkEnd w:id="20"/>
    <w:p>
      <w:pPr>
        <w:pStyle w:val="BodyText"/>
      </w:pPr>
      <w:r>
        <w:rPr>
          <w:bCs/>
          <w:b/>
        </w:rPr>
        <w:t xml:space="preserve">Quotation Reference:</w:t>
      </w:r>
      <w:r>
        <w:t xml:space="preserve"> </w:t>
      </w:r>
      <w:r>
        <w:t xml:space="preserve">QE-2025-LYON-0472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br/>
      </w:r>
      <w:r>
        <w:t xml:space="preserve">Atelier Beaumont &amp; Associés</w:t>
      </w:r>
      <w:r>
        <w:br/>
      </w:r>
      <w:r>
        <w:t xml:space="preserve">12 Rue de la République</w:t>
      </w:r>
      <w:r>
        <w:br/>
      </w:r>
      <w:r>
        <w:t xml:space="preserve">69002 Lyon, France</w:t>
      </w:r>
      <w:r>
        <w:br/>
      </w:r>
      <w:r>
        <w:t xml:space="preserve">Tel: +33 4 72 00 00 00</w:t>
      </w:r>
      <w:r>
        <w:br/>
      </w:r>
      <w:r>
        <w:t xml:space="preserve">Email: contact@atelier-beaumont.fr</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 &amp; Mme. Laurent Delacroix</w:t>
            </w:r>
          </w:p>
        </w:tc>
      </w:tr>
      <w:tr>
        <w:tc>
          <w:tcPr/>
          <w:p>
            <w:pPr>
              <w:pStyle w:val="Compact"/>
              <w:jc w:val="left"/>
            </w:pPr>
            <w:r>
              <w:t xml:space="preserve">Address</w:t>
            </w:r>
          </w:p>
        </w:tc>
        <w:tc>
          <w:tcPr/>
          <w:p>
            <w:pPr>
              <w:pStyle w:val="Compact"/>
              <w:jc w:val="left"/>
            </w:pPr>
            <w:r>
              <w:t xml:space="preserve">45 Avenue Jean Jaurès, 69007 Lyon, France</w:t>
            </w:r>
          </w:p>
        </w:tc>
      </w:tr>
      <w:tr>
        <w:tc>
          <w:tcPr/>
          <w:p>
            <w:pPr>
              <w:pStyle w:val="Compact"/>
              <w:jc w:val="left"/>
            </w:pPr>
            <w:r>
              <w:t xml:space="preserve">Project Location</w:t>
            </w:r>
          </w:p>
        </w:tc>
        <w:tc>
          <w:tcPr/>
          <w:p>
            <w:pPr>
              <w:pStyle w:val="Compact"/>
              <w:jc w:val="left"/>
            </w:pPr>
            <w:r>
              <w:t xml:space="preserve">Quartier Croix-Rousse, 69004 Lyon, France</w:t>
            </w:r>
          </w:p>
        </w:tc>
      </w:tr>
      <w:tr>
        <w:tc>
          <w:tcPr/>
          <w:p>
            <w:pPr>
              <w:pStyle w:val="Compact"/>
              <w:jc w:val="left"/>
            </w:pPr>
            <w:r>
              <w:t xml:space="preserve">Contact</w:t>
            </w:r>
          </w:p>
        </w:tc>
        <w:tc>
          <w:tcPr/>
          <w:p>
            <w:pPr>
              <w:pStyle w:val="Compact"/>
              <w:jc w:val="left"/>
            </w:pPr>
            <w:r>
              <w:t xml:space="preserve">+33 6 12 34 56 78 / delacroix.laurent@email.fr</w:t>
            </w:r>
          </w:p>
        </w:tc>
      </w:tr>
    </w:tbl>
    <w:p>
      <w:pPr>
        <w:pStyle w:val="BodyText"/>
      </w:pPr>
      <w:r>
        <w:t xml:space="preserve">2. Project Description</w:t>
      </w:r>
    </w:p>
    <w:p>
      <w:pPr>
        <w:pStyle w:val="BodyText"/>
      </w:pPr>
      <w:r>
        <w:t xml:space="preserve">This Quotation Estimate is issued by Atelier Beaumont &amp; Associés, a registered Architect firm operating in France Lyon, in response to the client's request for comprehensive architectural design and project management services. The project involves the full renovation and partial extension of a heritage residential property situated in the Croix-Rousse district of Lyon, France. The Architect will oversee all phases from initial feasibility studies through to final handover, ensuring full compliance with the urban planning regulations (Code de l'Urbanisme) applicable in the Lyon metropolitan area and the specific constraints of the protected heritage zone (Zone de Protection du Patrimoine Architectural, Urbain, Paysager et Archéologique — ZPPAUP) in which the property is located.</w:t>
      </w:r>
    </w:p>
    <w:p>
      <w:pPr>
        <w:pStyle w:val="BodyText"/>
      </w:pPr>
      <w:r>
        <w:t xml:space="preserve">3. Scope of Architect Services</w:t>
      </w:r>
    </w:p>
    <w:p>
      <w:pPr>
        <w:pStyle w:val="BodyText"/>
      </w:pPr>
      <w:r>
        <w:t xml:space="preserve">The Architect engaged under this Quotation Estimate shall deliver the following professional services in France Lyon: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 of Services</w:t>
            </w:r>
          </w:p>
        </w:tc>
        <w:tc>
          <w:tcPr/>
          <w:p>
            <w:pPr>
              <w:pStyle w:val="Compact"/>
              <w:jc w:val="left"/>
            </w:pPr>
            <w:r>
              <w:t xml:space="preserve">Estimated Duration</w:t>
            </w:r>
          </w:p>
        </w:tc>
      </w:tr>
      <w:tr>
        <w:tc>
          <w:tcPr/>
          <w:p>
            <w:pPr>
              <w:pStyle w:val="Compact"/>
              <w:jc w:val="left"/>
            </w:pPr>
            <w:r>
              <w:t xml:space="preserve">Phase 1 — Diagnostic &amp; Feasibility</w:t>
            </w:r>
          </w:p>
        </w:tc>
        <w:tc>
          <w:tcPr/>
          <w:p>
            <w:pPr>
              <w:pStyle w:val="Compact"/>
              <w:jc w:val="left"/>
            </w:pPr>
            <w:r>
              <w:t xml:space="preserve">Site survey, structural assessment, heritage impact analysis, preliminary budget estimation, and regulatory review with the Mairie de Lyon urban planning department.</w:t>
            </w:r>
          </w:p>
        </w:tc>
        <w:tc>
          <w:tcPr/>
          <w:p>
            <w:pPr>
              <w:pStyle w:val="Compact"/>
              <w:jc w:val="left"/>
            </w:pPr>
            <w:r>
              <w:t xml:space="preserve">4 weeks</w:t>
            </w:r>
          </w:p>
        </w:tc>
      </w:tr>
      <w:tr>
        <w:tc>
          <w:tcPr/>
          <w:p>
            <w:pPr>
              <w:pStyle w:val="Compact"/>
              <w:jc w:val="left"/>
            </w:pPr>
            <w:r>
              <w:t xml:space="preserve">Phase 2 — Concept Design (Esquisse)</w:t>
            </w:r>
          </w:p>
        </w:tc>
        <w:tc>
          <w:tcPr/>
          <w:p>
            <w:pPr>
              <w:pStyle w:val="Compact"/>
              <w:jc w:val="left"/>
            </w:pPr>
            <w:r>
              <w:t xml:space="preserve">Development of three (3) conceptual design options, 3D visualisations, material palette selection, and client presentation sessions in Lyon.</w:t>
            </w:r>
          </w:p>
        </w:tc>
        <w:tc>
          <w:tcPr/>
          <w:p>
            <w:pPr>
              <w:pStyle w:val="Compact"/>
              <w:jc w:val="left"/>
            </w:pPr>
            <w:r>
              <w:t xml:space="preserve">6 weeks</w:t>
            </w:r>
          </w:p>
        </w:tc>
      </w:tr>
      <w:tr>
        <w:tc>
          <w:tcPr/>
          <w:p>
            <w:pPr>
              <w:pStyle w:val="Compact"/>
              <w:jc w:val="left"/>
            </w:pPr>
            <w:r>
              <w:t xml:space="preserve">Phase 3 — Detailed Design (Projet)</w:t>
            </w:r>
          </w:p>
        </w:tc>
        <w:tc>
          <w:tcPr/>
          <w:p>
            <w:pPr>
              <w:pStyle w:val="Compact"/>
              <w:jc w:val="left"/>
            </w:pPr>
            <w:r>
              <w:t xml:space="preserve">Full architectural drawings, structural coordination, MEP (mechanical, electrical, plumbing) integration, energy performance modelling (DPE compliance), and preparation of the Permis de Rénover / Permis de Construire application for the Lyon city council.</w:t>
            </w:r>
          </w:p>
        </w:tc>
        <w:tc>
          <w:tcPr/>
          <w:p>
            <w:pPr>
              <w:pStyle w:val="Compact"/>
              <w:jc w:val="left"/>
            </w:pPr>
            <w:r>
              <w:t xml:space="preserve">10 weeks</w:t>
            </w:r>
          </w:p>
        </w:tc>
      </w:tr>
      <w:tr>
        <w:tc>
          <w:tcPr/>
          <w:p>
            <w:pPr>
              <w:pStyle w:val="Compact"/>
              <w:jc w:val="left"/>
            </w:pPr>
            <w:r>
              <w:t xml:space="preserve">Phase 4 — Tender &amp; Contractor Selection</w:t>
            </w:r>
          </w:p>
        </w:tc>
        <w:tc>
          <w:tcPr/>
          <w:p>
            <w:pPr>
              <w:pStyle w:val="Compact"/>
              <w:jc w:val="left"/>
            </w:pPr>
            <w:r>
              <w:t xml:space="preserve">Preparation of detailed technical specifications (CCTP), coordination of contractor bids, and recommendation of the main contractor to the client.</w:t>
            </w:r>
          </w:p>
        </w:tc>
        <w:tc>
          <w:tcPr/>
          <w:p>
            <w:pPr>
              <w:pStyle w:val="Compact"/>
              <w:jc w:val="left"/>
            </w:pPr>
            <w:r>
              <w:t xml:space="preserve">4 weeks</w:t>
            </w:r>
          </w:p>
        </w:tc>
      </w:tr>
      <w:tr>
        <w:tc>
          <w:tcPr/>
          <w:p>
            <w:pPr>
              <w:pStyle w:val="Compact"/>
              <w:jc w:val="left"/>
            </w:pPr>
            <w:r>
              <w:t xml:space="preserve">Phase 5 — Construction Supervision (Suivi de Chantier)</w:t>
            </w:r>
          </w:p>
        </w:tc>
        <w:tc>
          <w:tcPr/>
          <w:p>
            <w:pPr>
              <w:pStyle w:val="Compact"/>
              <w:jc w:val="left"/>
            </w:pPr>
            <w:r>
              <w:t xml:space="preserve">Weekly site inspections in France Lyon, quality control, progress reporting, variation order management, and coordination of all trades on site.</w:t>
            </w:r>
          </w:p>
        </w:tc>
        <w:tc>
          <w:tcPr/>
          <w:p>
            <w:pPr>
              <w:pStyle w:val="Compact"/>
              <w:jc w:val="left"/>
            </w:pPr>
            <w:r>
              <w:t xml:space="preserve">26 weeks</w:t>
            </w:r>
          </w:p>
        </w:tc>
      </w:tr>
      <w:tr>
        <w:tc>
          <w:tcPr/>
          <w:p>
            <w:pPr>
              <w:pStyle w:val="Compact"/>
              <w:jc w:val="left"/>
            </w:pPr>
            <w:r>
              <w:t xml:space="preserve">Phase 6 — Handover &amp; As-Built</w:t>
            </w:r>
          </w:p>
        </w:tc>
        <w:tc>
          <w:tcPr/>
          <w:p>
            <w:pPr>
              <w:pStyle w:val="Compact"/>
              <w:jc w:val="left"/>
            </w:pPr>
            <w:r>
              <w:t xml:space="preserve">Final inspection, rectification list management, as-built documentation, and warranty period support (12 months).</w:t>
            </w:r>
          </w:p>
        </w:tc>
        <w:tc>
          <w:tcPr/>
          <w:p>
            <w:pPr>
              <w:pStyle w:val="Compact"/>
              <w:jc w:val="left"/>
            </w:pPr>
            <w:r>
              <w:t xml:space="preserve">3 weeks</w:t>
            </w:r>
          </w:p>
        </w:tc>
      </w:tr>
    </w:tbl>
    <w:p>
      <w:pPr>
        <w:pStyle w:val="BodyText"/>
      </w:pPr>
      <w:r>
        <w:t xml:space="preserve">4. Financial Breakdown — Quotation Estimate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 excl. VAT)</w:t>
            </w:r>
          </w:p>
        </w:tc>
      </w:tr>
      <w:tr>
        <w:tc>
          <w:tcPr/>
          <w:p>
            <w:pPr>
              <w:pStyle w:val="Compact"/>
              <w:jc w:val="left"/>
            </w:pPr>
            <w:r>
              <w:t xml:space="preserve">1</w:t>
            </w:r>
          </w:p>
        </w:tc>
        <w:tc>
          <w:tcPr/>
          <w:p>
            <w:pPr>
              <w:pStyle w:val="Compact"/>
              <w:jc w:val="left"/>
            </w:pPr>
            <w:r>
              <w:t xml:space="preserve">Phase 1 — Diagnostic &amp; Feasibility Studies</w:t>
            </w:r>
          </w:p>
        </w:tc>
        <w:tc>
          <w:tcPr/>
          <w:p>
            <w:pPr>
              <w:pStyle w:val="Compact"/>
              <w:jc w:val="left"/>
            </w:pPr>
            <w:r>
              <w:t xml:space="preserve">€ 8,500.00</w:t>
            </w:r>
          </w:p>
        </w:tc>
      </w:tr>
      <w:tr>
        <w:tc>
          <w:tcPr/>
          <w:p>
            <w:pPr>
              <w:pStyle w:val="Compact"/>
              <w:jc w:val="left"/>
            </w:pPr>
            <w:r>
              <w:t xml:space="preserve">2</w:t>
            </w:r>
          </w:p>
        </w:tc>
        <w:tc>
          <w:tcPr/>
          <w:p>
            <w:pPr>
              <w:pStyle w:val="Compact"/>
              <w:jc w:val="left"/>
            </w:pPr>
            <w:r>
              <w:t xml:space="preserve">Phase 2 — Concept Design &amp; 3D Visualisations</w:t>
            </w:r>
          </w:p>
        </w:tc>
        <w:tc>
          <w:tcPr/>
          <w:p>
            <w:pPr>
              <w:pStyle w:val="Compact"/>
              <w:jc w:val="left"/>
            </w:pPr>
            <w:r>
              <w:t xml:space="preserve">€ 14,200.00</w:t>
            </w:r>
          </w:p>
        </w:tc>
      </w:tr>
      <w:tr>
        <w:tc>
          <w:tcPr/>
          <w:p>
            <w:pPr>
              <w:pStyle w:val="Compact"/>
              <w:jc w:val="left"/>
            </w:pPr>
            <w:r>
              <w:t xml:space="preserve">3</w:t>
            </w:r>
          </w:p>
        </w:tc>
        <w:tc>
          <w:tcPr/>
          <w:p>
            <w:pPr>
              <w:pStyle w:val="Compact"/>
              <w:jc w:val="left"/>
            </w:pPr>
            <w:r>
              <w:t xml:space="preserve">Phase 3 — Detailed Design &amp; Planning Application</w:t>
            </w:r>
          </w:p>
        </w:tc>
        <w:tc>
          <w:tcPr/>
          <w:p>
            <w:pPr>
              <w:pStyle w:val="Compact"/>
              <w:jc w:val="left"/>
            </w:pPr>
            <w:r>
              <w:t xml:space="preserve">€ 22,800.00</w:t>
            </w:r>
          </w:p>
        </w:tc>
      </w:tr>
      <w:tr>
        <w:tc>
          <w:tcPr/>
          <w:p>
            <w:pPr>
              <w:pStyle w:val="Compact"/>
              <w:jc w:val="left"/>
            </w:pPr>
            <w:r>
              <w:t xml:space="preserve">4</w:t>
            </w:r>
          </w:p>
        </w:tc>
        <w:tc>
          <w:tcPr/>
          <w:p>
            <w:pPr>
              <w:pStyle w:val="Compact"/>
              <w:jc w:val="left"/>
            </w:pPr>
            <w:r>
              <w:t xml:space="preserve">Phase 4 — Tender Documentation &amp; Contractor Selection</w:t>
            </w:r>
          </w:p>
        </w:tc>
        <w:tc>
          <w:tcPr/>
          <w:p>
            <w:pPr>
              <w:pStyle w:val="Compact"/>
              <w:jc w:val="left"/>
            </w:pPr>
            <w:r>
              <w:t xml:space="preserve">€ 6,400.00</w:t>
            </w:r>
          </w:p>
        </w:tc>
      </w:tr>
      <w:tr>
        <w:tc>
          <w:tcPr/>
          <w:p>
            <w:pPr>
              <w:pStyle w:val="Compact"/>
              <w:jc w:val="left"/>
            </w:pPr>
            <w:r>
              <w:t xml:space="preserve">5</w:t>
            </w:r>
          </w:p>
        </w:tc>
        <w:tc>
          <w:tcPr/>
          <w:p>
            <w:pPr>
              <w:pStyle w:val="Compact"/>
              <w:jc w:val="left"/>
            </w:pPr>
            <w:r>
              <w:t xml:space="preserve">Phase 5 — Construction Supervision (26 weeks)</w:t>
            </w:r>
          </w:p>
        </w:tc>
        <w:tc>
          <w:tcPr/>
          <w:p>
            <w:pPr>
              <w:pStyle w:val="Compact"/>
              <w:jc w:val="left"/>
            </w:pPr>
            <w:r>
              <w:t xml:space="preserve">€ 31,500.00</w:t>
            </w:r>
          </w:p>
        </w:tc>
      </w:tr>
      <w:tr>
        <w:tc>
          <w:tcPr/>
          <w:p>
            <w:pPr>
              <w:pStyle w:val="Compact"/>
              <w:jc w:val="left"/>
            </w:pPr>
            <w:r>
              <w:t xml:space="preserve">6</w:t>
            </w:r>
          </w:p>
        </w:tc>
        <w:tc>
          <w:tcPr/>
          <w:p>
            <w:pPr>
              <w:pStyle w:val="Compact"/>
              <w:jc w:val="left"/>
            </w:pPr>
            <w:r>
              <w:t xml:space="preserve">Phase 6 — Handover, As-Built &amp; 12-Month Warranty</w:t>
            </w:r>
          </w:p>
        </w:tc>
        <w:tc>
          <w:tcPr/>
          <w:p>
            <w:pPr>
              <w:pStyle w:val="Compact"/>
              <w:jc w:val="left"/>
            </w:pPr>
            <w:r>
              <w:t xml:space="preserve">€ 4,600.00</w:t>
            </w:r>
          </w:p>
        </w:tc>
      </w:tr>
      <w:tr>
        <w:tc>
          <w:tcPr/>
          <w:p>
            <w:pPr>
              <w:pStyle w:val="Compact"/>
              <w:jc w:val="left"/>
            </w:pPr>
            <w:r>
              <w:t xml:space="preserve">7</w:t>
            </w:r>
          </w:p>
        </w:tc>
        <w:tc>
          <w:tcPr/>
          <w:p>
            <w:pPr>
              <w:pStyle w:val="Compact"/>
              <w:jc w:val="left"/>
            </w:pPr>
            <w:r>
              <w:t xml:space="preserve">Heritage Consultant Fee (ZPPAUP compliance, Lyon)</w:t>
            </w:r>
          </w:p>
        </w:tc>
        <w:tc>
          <w:tcPr/>
          <w:p>
            <w:pPr>
              <w:pStyle w:val="Compact"/>
              <w:jc w:val="left"/>
            </w:pPr>
            <w:r>
              <w:t xml:space="preserve">€ 3,200.00</w:t>
            </w:r>
          </w:p>
        </w:tc>
      </w:tr>
      <w:tr>
        <w:tc>
          <w:tcPr/>
          <w:p>
            <w:pPr>
              <w:pStyle w:val="Compact"/>
              <w:jc w:val="left"/>
            </w:pPr>
            <w:r>
              <w:t xml:space="preserve">8</w:t>
            </w:r>
          </w:p>
        </w:tc>
        <w:tc>
          <w:tcPr/>
          <w:p>
            <w:pPr>
              <w:pStyle w:val="Compact"/>
              <w:jc w:val="left"/>
            </w:pPr>
            <w:r>
              <w:t xml:space="preserve">Energy Performance Diagnostic (DPE) &amp; RE2020 Modelling</w:t>
            </w:r>
          </w:p>
        </w:tc>
        <w:tc>
          <w:tcPr/>
          <w:p>
            <w:pPr>
              <w:pStyle w:val="Compact"/>
              <w:jc w:val="left"/>
            </w:pPr>
            <w:r>
              <w:t xml:space="preserve">€ 2,800.00</w:t>
            </w:r>
          </w:p>
        </w:tc>
      </w:tr>
      <w:tr>
        <w:tc>
          <w:tcPr>
            <w:gridSpan w:val="2"/>
          </w:tcPr>
          <w:p>
            <w:pPr>
              <w:pStyle w:val="Compact"/>
              <w:jc w:val="left"/>
            </w:pPr>
            <w:r>
              <w:t xml:space="preserve">Subtotal (excl. VAT)</w:t>
            </w:r>
          </w:p>
        </w:tc>
        <w:tc>
          <w:tcPr/>
          <w:p>
            <w:pPr>
              <w:pStyle w:val="Compact"/>
              <w:jc w:val="left"/>
            </w:pPr>
            <w:r>
              <w:t xml:space="preserve">€ 94,000.00</w:t>
            </w:r>
          </w:p>
        </w:tc>
      </w:tr>
      <w:tr>
        <w:tc>
          <w:tcPr>
            <w:gridSpan w:val="2"/>
          </w:tcPr>
          <w:p>
            <w:pPr>
              <w:pStyle w:val="Compact"/>
              <w:jc w:val="left"/>
            </w:pPr>
            <w:r>
              <w:t xml:space="preserve">VAT (TVA) at 20%</w:t>
            </w:r>
          </w:p>
        </w:tc>
        <w:tc>
          <w:tcPr/>
          <w:p>
            <w:pPr>
              <w:pStyle w:val="Compact"/>
              <w:jc w:val="left"/>
            </w:pPr>
            <w:r>
              <w:t xml:space="preserve">€ 18,800.00</w:t>
            </w:r>
          </w:p>
        </w:tc>
      </w:tr>
      <w:tr>
        <w:tc>
          <w:tcPr>
            <w:gridSpan w:val="2"/>
          </w:tcPr>
          <w:p>
            <w:pPr>
              <w:pStyle w:val="Compact"/>
              <w:jc w:val="left"/>
            </w:pPr>
            <w:r>
              <w:rPr>
                <w:bCs/>
                <w:b/>
              </w:rPr>
              <w:t xml:space="preserve">TOTAL AMOUNT DUE (incl. VAT)</w:t>
            </w:r>
          </w:p>
        </w:tc>
        <w:tc>
          <w:tcPr/>
          <w:p>
            <w:pPr>
              <w:pStyle w:val="Compact"/>
              <w:jc w:val="left"/>
            </w:pPr>
            <w:r>
              <w:rPr>
                <w:bCs/>
                <w:b/>
              </w:rPr>
              <w:t xml:space="preserve">€ 112,800.00</w:t>
            </w:r>
          </w:p>
        </w:tc>
      </w:tr>
    </w:tbl>
    <w:p>
      <w:pPr>
        <w:pStyle w:val="BodyText"/>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incl. VAT)</w:t>
            </w:r>
          </w:p>
        </w:tc>
      </w:tr>
      <w:tr>
        <w:tc>
          <w:tcPr/>
          <w:p>
            <w:pPr>
              <w:pStyle w:val="Compact"/>
              <w:jc w:val="left"/>
            </w:pPr>
            <w:r>
              <w:t xml:space="preserve">Upon signature of this Quotation Estimate</w:t>
            </w:r>
          </w:p>
        </w:tc>
        <w:tc>
          <w:tcPr/>
          <w:p>
            <w:pPr>
              <w:pStyle w:val="Compact"/>
              <w:jc w:val="left"/>
            </w:pPr>
            <w:r>
              <w:t xml:space="preserve">20%</w:t>
            </w:r>
          </w:p>
        </w:tc>
        <w:tc>
          <w:tcPr/>
          <w:p>
            <w:pPr>
              <w:pStyle w:val="Compact"/>
              <w:jc w:val="left"/>
            </w:pPr>
            <w:r>
              <w:t xml:space="preserve">€ 22,560.00</w:t>
            </w:r>
          </w:p>
        </w:tc>
      </w:tr>
      <w:tr>
        <w:tc>
          <w:tcPr/>
          <w:p>
            <w:pPr>
              <w:pStyle w:val="Compact"/>
              <w:jc w:val="left"/>
            </w:pPr>
            <w:r>
              <w:t xml:space="preserve">Upon approval of Concept Design (Phase 2)</w:t>
            </w:r>
          </w:p>
        </w:tc>
        <w:tc>
          <w:tcPr/>
          <w:p>
            <w:pPr>
              <w:pStyle w:val="Compact"/>
              <w:jc w:val="left"/>
            </w:pPr>
            <w:r>
              <w:t xml:space="preserve">20%</w:t>
            </w:r>
          </w:p>
        </w:tc>
        <w:tc>
          <w:tcPr/>
          <w:p>
            <w:pPr>
              <w:pStyle w:val="Compact"/>
              <w:jc w:val="left"/>
            </w:pPr>
            <w:r>
              <w:t xml:space="preserve">€ 22,560.00</w:t>
            </w:r>
          </w:p>
        </w:tc>
      </w:tr>
      <w:tr>
        <w:tc>
          <w:tcPr/>
          <w:p>
            <w:pPr>
              <w:pStyle w:val="Compact"/>
              <w:jc w:val="left"/>
            </w:pPr>
            <w:r>
              <w:t xml:space="preserve">Upon submission of Planning Application (Phase 3)</w:t>
            </w:r>
          </w:p>
        </w:tc>
        <w:tc>
          <w:tcPr/>
          <w:p>
            <w:pPr>
              <w:pStyle w:val="Compact"/>
              <w:jc w:val="left"/>
            </w:pPr>
            <w:r>
              <w:t xml:space="preserve">20%</w:t>
            </w:r>
          </w:p>
        </w:tc>
        <w:tc>
          <w:tcPr/>
          <w:p>
            <w:pPr>
              <w:pStyle w:val="Compact"/>
              <w:jc w:val="left"/>
            </w:pPr>
            <w:r>
              <w:t xml:space="preserve">€ 22,560.00</w:t>
            </w:r>
          </w:p>
        </w:tc>
      </w:tr>
      <w:tr>
        <w:tc>
          <w:tcPr/>
          <w:p>
            <w:pPr>
              <w:pStyle w:val="Compact"/>
              <w:jc w:val="left"/>
            </w:pPr>
            <w:r>
              <w:t xml:space="preserve">Monthly during Construction Supervision (Phase 5)</w:t>
            </w:r>
          </w:p>
        </w:tc>
        <w:tc>
          <w:tcPr/>
          <w:p>
            <w:pPr>
              <w:pStyle w:val="Compact"/>
              <w:jc w:val="left"/>
            </w:pPr>
            <w:r>
              <w:t xml:space="preserve">30%</w:t>
            </w:r>
          </w:p>
        </w:tc>
        <w:tc>
          <w:tcPr/>
          <w:p>
            <w:pPr>
              <w:pStyle w:val="Compact"/>
              <w:jc w:val="left"/>
            </w:pPr>
            <w:r>
              <w:t xml:space="preserve">€ 33,840.00</w:t>
            </w:r>
          </w:p>
        </w:tc>
      </w:tr>
      <w:tr>
        <w:tc>
          <w:tcPr/>
          <w:p>
            <w:pPr>
              <w:pStyle w:val="Compact"/>
              <w:jc w:val="left"/>
            </w:pPr>
            <w:r>
              <w:t xml:space="preserve">Upon Final Handover (Phase 6)</w:t>
            </w:r>
          </w:p>
        </w:tc>
        <w:tc>
          <w:tcPr/>
          <w:p>
            <w:pPr>
              <w:pStyle w:val="Compact"/>
              <w:jc w:val="left"/>
            </w:pPr>
            <w:r>
              <w:t xml:space="preserve">10%</w:t>
            </w:r>
          </w:p>
        </w:tc>
        <w:tc>
          <w:tcPr/>
          <w:p>
            <w:pPr>
              <w:pStyle w:val="Compact"/>
              <w:jc w:val="left"/>
            </w:pPr>
            <w:r>
              <w:t xml:space="preserve">€ 11,280.00</w:t>
            </w:r>
          </w:p>
        </w:tc>
      </w:tr>
    </w:tbl>
    <w:p>
      <w:pPr>
        <w:pStyle w:val="BodyText"/>
      </w:pPr>
      <w:r>
        <w:t xml:space="preserve">6. Terms and Conditions</w:t>
      </w:r>
    </w:p>
    <w:p>
      <w:pPr>
        <w:numPr>
          <w:ilvl w:val="0"/>
          <w:numId w:val="1001"/>
        </w:numPr>
        <w:pStyle w:val="Compact"/>
      </w:pPr>
      <w:r>
        <w:t xml:space="preserve">This Quotation Estimate is valid for a period of ninety (90) days from the date of issue. Beyond this period, the Architect reserves the right to revise the fees to reflect current market rates in France Lyon.</w:t>
      </w:r>
    </w:p>
    <w:p>
      <w:pPr>
        <w:numPr>
          <w:ilvl w:val="0"/>
          <w:numId w:val="1001"/>
        </w:numPr>
        <w:pStyle w:val="Compact"/>
      </w:pPr>
      <w:r>
        <w:t xml:space="preserve">All fees quoted are exclusive of VAT, which shall be applied at the standard French rate of 20% unless the project qualifies for a reduced rate under applicable French tax legislation.</w:t>
      </w:r>
    </w:p>
    <w:p>
      <w:pPr>
        <w:numPr>
          <w:ilvl w:val="0"/>
          <w:numId w:val="1001"/>
        </w:numPr>
        <w:pStyle w:val="Compact"/>
      </w:pPr>
      <w:r>
        <w:t xml:space="preserve">The Architect shall carry out all services in accordance with the professional code of ethics of the Ordre des Architectes de France and the specific regulations governing architectural practice in the Auvergne-Rhône region, with Lyon as the primary jurisdiction.</w:t>
      </w:r>
    </w:p>
    <w:p>
      <w:pPr>
        <w:numPr>
          <w:ilvl w:val="0"/>
          <w:numId w:val="1001"/>
        </w:numPr>
        <w:pStyle w:val="Compact"/>
      </w:pPr>
      <w:r>
        <w:t xml:space="preserve">Any variation to the scope of work beyond the parameters defined in this Quotation Estimate shall be subject to a written amendment and a supplementary fee estimate agreed by both parties prior to commencement of the additional work.</w:t>
      </w:r>
    </w:p>
    <w:p>
      <w:pPr>
        <w:numPr>
          <w:ilvl w:val="0"/>
          <w:numId w:val="1001"/>
        </w:numPr>
        <w:pStyle w:val="Compact"/>
      </w:pPr>
      <w:r>
        <w:t xml:space="preserve">The Architect shall maintain professional indemnity insurance in a minimum amount of € 1,000,000 per claim, as required by French law for registered Architects operating in France Lyon.</w:t>
      </w:r>
    </w:p>
    <w:p>
      <w:pPr>
        <w:numPr>
          <w:ilvl w:val="0"/>
          <w:numId w:val="1001"/>
        </w:numPr>
        <w:pStyle w:val="Compact"/>
      </w:pPr>
      <w:r>
        <w:t xml:space="preserve">Intellectual property of all design documents, drawings, and 3D models produced under this engagement shall remain the property of the Architect until full payment has been received. Upon full settlement, the client shall receive a non-exclusive licence to use the designs for the specific project in Lyon.</w:t>
      </w:r>
    </w:p>
    <w:p>
      <w:pPr>
        <w:numPr>
          <w:ilvl w:val="0"/>
          <w:numId w:val="1001"/>
        </w:numPr>
        <w:pStyle w:val="Compact"/>
      </w:pPr>
      <w:r>
        <w:t xml:space="preserve">Disputes arising from this Quotation Estimate shall be resolved by the competent courts of Lyon, France, in accordance with French civil law.</w:t>
      </w:r>
    </w:p>
    <w:p>
      <w:pPr>
        <w:numPr>
          <w:ilvl w:val="0"/>
          <w:numId w:val="1001"/>
        </w:numPr>
        <w:pStyle w:val="Compact"/>
      </w:pPr>
      <w:r>
        <w:t xml:space="preserve">The Architect shall comply with all applicable French data protection regulations (RGPD / GDPR) regarding the handling of client personal information.</w:t>
      </w:r>
    </w:p>
    <w:p>
      <w:pPr>
        <w:numPr>
          <w:ilvl w:val="0"/>
          <w:numId w:val="1001"/>
        </w:numPr>
        <w:pStyle w:val="Compact"/>
      </w:pPr>
      <w:r>
        <w:t xml:space="preserve">This Quotation Estimate does not constitute a binding contract until countersigned by both parties and accompanied by the initial payment.</w:t>
      </w:r>
    </w:p>
    <w:p>
      <w:pPr>
        <w:pStyle w:val="FirstParagraph"/>
      </w:pPr>
      <w:r>
        <w:t xml:space="preserve">7. Acceptance &amp; Signatures</w:t>
      </w:r>
    </w:p>
    <w:p>
      <w:pPr>
        <w:pStyle w:val="BodyText"/>
      </w:pPr>
      <w:r>
        <w:t xml:space="preserve">By signing below, the client acknowledges receipt of this Quotation Estimate for Architect services in France Lyon and agrees to the terms, conditions, and financial breakdown set out herein. The Architect confirms availability to commence Phase 1 within ten (10) business days of receipt of the initial payment.</w:t>
      </w:r>
    </w:p>
    <w:p>
      <w:pPr>
        <w:pStyle w:val="BodyText"/>
      </w:pPr>
      <w:r>
        <w:rPr>
          <w:bCs/>
          <w:b/>
        </w:rPr>
        <w:t xml:space="preserve">For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M. &amp; Mme. Laurent Delacroix</w:t>
      </w:r>
    </w:p>
    <w:p>
      <w:pPr>
        <w:pStyle w:val="BodyText"/>
      </w:pPr>
      <w:r>
        <w:rPr>
          <w:bCs/>
          <w:b/>
        </w:rPr>
        <w:t xml:space="preserve">For the Architect: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Atelier Beaumont &amp; Associés — Lyon, France</w:t>
      </w:r>
    </w:p>
    <w:p>
      <w:pPr>
        <w:pStyle w:val="BodyText"/>
      </w:pPr>
      <w:r>
        <w:t xml:space="preserve">This Quotation Estimate (Ref. QE-2025-LYON-0472) was prepared by Atelier Beaumont &amp; Associés, a registered Architect firm in France Lyon (Ordre des Architectes de France, Reg. No. AR-69-2018-0342).</w:t>
      </w:r>
      <w:r>
        <w:br/>
      </w:r>
      <w:r>
        <w:t xml:space="preserve">© 2025 Atelier Beaumont &amp; Associés. All rights reserved. —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France Lyon</dc:title>
  <dc:creator/>
  <dc:language>en</dc:language>
  <cp:keywords/>
  <dcterms:created xsi:type="dcterms:W3CDTF">2026-10-10T02:30:44Z</dcterms:created>
  <dcterms:modified xsi:type="dcterms:W3CDTF">2026-10-10T02:30:44Z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