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berlin-architekturbüro-gmbh"/>
    <w:p>
      <w:pPr>
        <w:pStyle w:val="Heading1"/>
      </w:pPr>
      <w:r>
        <w:t xml:space="preserve">Berlin Architekturbüro GmbH</w:t>
      </w:r>
    </w:p>
    <w:p>
      <w:pPr>
        <w:pStyle w:val="FirstParagraph"/>
      </w:pPr>
      <w:r>
        <w:t xml:space="preserve">Unter den Linden 42, 10117 Berlin, Germany</w:t>
      </w:r>
    </w:p>
    <w:p>
      <w:pPr>
        <w:pStyle w:val="BodyText"/>
      </w:pPr>
      <w:r>
        <w:t xml:space="preserve">Phone: +49 30 555 0182 | Email: info@berlin-architekturbuero.de</w:t>
      </w:r>
    </w:p>
    <w:p>
      <w:pPr>
        <w:pStyle w:val="BodyText"/>
      </w:pPr>
      <w:r>
        <w:t xml:space="preserve">USt-IdNr.: DE 312 456 789 | HRB 123456 B, Amtsgericht Berlin-Charlottenburg</w:t>
      </w:r>
    </w:p>
    <w:bookmarkEnd w:id="20"/>
    <w:bookmarkStart w:id="21" w:name="quotation-estimate"/>
    <w:p>
      <w:pPr>
        <w:pStyle w:val="Heading2"/>
      </w:pPr>
      <w:r>
        <w:t xml:space="preserve">QUOTATION ESTIMATE</w:t>
      </w:r>
    </w:p>
    <w:p>
      <w:pPr>
        <w:pStyle w:val="FirstParagraph"/>
      </w:pPr>
      <w:r>
        <w:t xml:space="preserve">Ref. No.: QE-2025-0471</w:t>
      </w:r>
    </w:p>
    <w:p>
      <w:pPr>
        <w:pStyle w:val="BodyText"/>
      </w:pPr>
      <w:r>
        <w:t xml:space="preserve">Date: 14 June 2025</w:t>
      </w:r>
    </w:p>
    <w:p>
      <w:pPr>
        <w:pStyle w:val="BodyText"/>
      </w:pPr>
      <w:r>
        <w:t xml:space="preserve">Valid Until: 14 July 2025</w:t>
      </w:r>
    </w:p>
    <w:bookmarkEnd w:id="21"/>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Dr. Markus Weber, Weber Immobilien GmbH</w:t>
            </w:r>
          </w:p>
        </w:tc>
      </w:tr>
      <w:tr>
        <w:tc>
          <w:tcPr/>
          <w:p>
            <w:pPr>
              <w:pStyle w:val="Compact"/>
              <w:jc w:val="left"/>
            </w:pPr>
            <w:r>
              <w:t xml:space="preserve">Address</w:t>
            </w:r>
          </w:p>
        </w:tc>
        <w:tc>
          <w:tcPr/>
          <w:p>
            <w:pPr>
              <w:pStyle w:val="Compact"/>
              <w:jc w:val="left"/>
            </w:pPr>
            <w:r>
              <w:t xml:space="preserve">Frankfurter Allee 18, 10247 Berlin, Germany</w:t>
            </w:r>
          </w:p>
        </w:tc>
      </w:tr>
      <w:tr>
        <w:tc>
          <w:tcPr/>
          <w:p>
            <w:pPr>
              <w:pStyle w:val="Compact"/>
              <w:jc w:val="left"/>
            </w:pPr>
            <w:r>
              <w:t xml:space="preserve">Project Location</w:t>
            </w:r>
          </w:p>
        </w:tc>
        <w:tc>
          <w:tcPr/>
          <w:p>
            <w:pPr>
              <w:pStyle w:val="Compact"/>
              <w:jc w:val="left"/>
            </w:pPr>
            <w:r>
              <w:t xml:space="preserve">Neukölln District, 12043 Berlin, Germany</w:t>
            </w:r>
          </w:p>
        </w:tc>
      </w:tr>
      <w:tr>
        <w:tc>
          <w:tcPr/>
          <w:p>
            <w:pPr>
              <w:pStyle w:val="Compact"/>
              <w:jc w:val="left"/>
            </w:pPr>
            <w:r>
              <w:t xml:space="preserve">Project Type</w:t>
            </w:r>
          </w:p>
        </w:tc>
        <w:tc>
          <w:tcPr/>
          <w:p>
            <w:pPr>
              <w:pStyle w:val="Compact"/>
              <w:jc w:val="left"/>
            </w:pPr>
            <w:r>
              <w:t xml:space="preserve">Residential Renovation &amp; Extension – 4-Unit Apartment Building</w:t>
            </w:r>
          </w:p>
        </w:tc>
      </w:tr>
      <w:tr>
        <w:tc>
          <w:tcPr/>
          <w:p>
            <w:pPr>
              <w:pStyle w:val="Compact"/>
              <w:jc w:val="left"/>
            </w:pPr>
            <w:r>
              <w:t xml:space="preserve">Contact Person</w:t>
            </w:r>
          </w:p>
        </w:tc>
        <w:tc>
          <w:tcPr/>
          <w:p>
            <w:pPr>
              <w:pStyle w:val="Compact"/>
              <w:jc w:val="left"/>
            </w:pPr>
            <w:r>
              <w:t xml:space="preserve">Dr. Markus Weber – +49 30 778 4421</w:t>
            </w:r>
          </w:p>
        </w:tc>
      </w:tr>
    </w:tbl>
    <w:p>
      <w:pPr>
        <w:pStyle w:val="BodyText"/>
      </w:pPr>
      <w:r>
        <w:t xml:space="preserve">2. Scope of Architectural Services – Germany Berlin</w:t>
      </w:r>
    </w:p>
    <w:p>
      <w:pPr>
        <w:pStyle w:val="BodyText"/>
      </w:pPr>
      <w:r>
        <w:t xml:space="preserve">This</w:t>
      </w:r>
      <w:r>
        <w:t xml:space="preserve"> </w:t>
      </w:r>
      <w:r>
        <w:t xml:space="preserve">Quotation Estimate</w:t>
      </w:r>
      <w:r>
        <w:t xml:space="preserve"> </w:t>
      </w:r>
      <w:r>
        <w:t xml:space="preserve">is issued by Berlin Architekturbüro GmbH, a licensed</w:t>
      </w:r>
      <w:r>
        <w:t xml:space="preserve"> </w:t>
      </w:r>
      <w:r>
        <w:t xml:space="preserve">Architect</w:t>
      </w:r>
      <w:r>
        <w:t xml:space="preserve"> </w:t>
      </w:r>
      <w:r>
        <w:t xml:space="preserve">practice registered with the Architektenkammer Berlin, to provide comprehensive architectural design and project management services for the above-referenced residential renovation and extension project located in the Neukölln district of</w:t>
      </w:r>
      <w:r>
        <w:t xml:space="preserve"> </w:t>
      </w:r>
      <w:r>
        <w:t xml:space="preserve">Germany Berlin</w:t>
      </w:r>
      <w:r>
        <w:t xml:space="preserve">. The</w:t>
      </w:r>
      <w:r>
        <w:t xml:space="preserve"> </w:t>
      </w:r>
      <w:r>
        <w:t xml:space="preserve">Architect</w:t>
      </w:r>
      <w:r>
        <w:t xml:space="preserve"> </w:t>
      </w:r>
      <w:r>
        <w:t xml:space="preserve">services outlined below are prepared in full compliance with the German Building Code (Bauordnung – BauO Bln), the Berlin Building Regulations, and all applicable federal and municipal planning guidelines governing construction within the city of Berlin.</w:t>
      </w:r>
    </w:p>
    <w:p>
      <w:pPr>
        <w:pStyle w:val="BodyText"/>
      </w:pPr>
      <w:r>
        <w:t xml:space="preserve">As the appointed</w:t>
      </w:r>
      <w:r>
        <w:t xml:space="preserve"> </w:t>
      </w:r>
      <w:r>
        <w:t xml:space="preserve">Architect</w:t>
      </w:r>
      <w:r>
        <w:t xml:space="preserve">, our firm will manage the entire design-to-completion process, ensuring that every phase adheres to the stringent urban planning standards of</w:t>
      </w:r>
      <w:r>
        <w:t xml:space="preserve"> </w:t>
      </w:r>
      <w:r>
        <w:t xml:space="preserve">Germany Berlin</w:t>
      </w:r>
      <w:r>
        <w:t xml:space="preserve">, including heritage preservation requirements applicable to the Neukölln area, energy efficiency mandates under the German Energy Saving Ordinance (GEG), and accessibility regulations (Barrierefreiheitsstärkungsgesetz). This</w:t>
      </w:r>
      <w:r>
        <w:t xml:space="preserve"> </w:t>
      </w:r>
      <w:r>
        <w:t xml:space="preserve">Quotation Estimate</w:t>
      </w:r>
      <w:r>
        <w:t xml:space="preserve"> </w:t>
      </w:r>
      <w:r>
        <w:t xml:space="preserve">reflects the full professional fee structure for the</w:t>
      </w:r>
      <w:r>
        <w:t xml:space="preserve"> </w:t>
      </w:r>
      <w:r>
        <w:t xml:space="preserve">Architect</w:t>
      </w:r>
      <w:r>
        <w:t xml:space="preserve"> </w:t>
      </w:r>
      <w:r>
        <w:t xml:space="preserve">engagement as defined by the German Fee Schedule for Architects and Engineers (Honorarordnung für Architekten und Ingenieure – HOAI).</w:t>
      </w:r>
    </w:p>
    <w:p>
      <w:pPr>
        <w:pStyle w:val="BodyText"/>
      </w:pPr>
      <w:r>
        <w:t xml:space="preserve">3. Itemized Quotation Estimate – Architect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HOAI Phase</w:t>
            </w:r>
          </w:p>
        </w:tc>
        <w:tc>
          <w:tcPr/>
          <w:p>
            <w:pPr>
              <w:pStyle w:val="Compact"/>
              <w:jc w:val="left"/>
            </w:pPr>
            <w:r>
              <w:t xml:space="preserve">Estimated Hours</w:t>
            </w:r>
          </w:p>
        </w:tc>
        <w:tc>
          <w:tcPr/>
          <w:p>
            <w:pPr>
              <w:pStyle w:val="Compact"/>
              <w:jc w:val="left"/>
            </w:pPr>
            <w:r>
              <w:t xml:space="preserve">Rate (EUR/hr)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Initial site survey, feasibility study, and preliminary concept design for the Berlin residential extension</w:t>
            </w:r>
          </w:p>
        </w:tc>
        <w:tc>
          <w:tcPr/>
          <w:p>
            <w:pPr>
              <w:pStyle w:val="Compact"/>
              <w:jc w:val="left"/>
            </w:pPr>
            <w:r>
              <w:t xml:space="preserve">LP 1 – Vorplanung</w:t>
            </w:r>
          </w:p>
        </w:tc>
        <w:tc>
          <w:tcPr/>
          <w:p>
            <w:pPr>
              <w:pStyle w:val="Compact"/>
              <w:jc w:val="left"/>
            </w:pPr>
            <w:r>
              <w:t xml:space="preserve">48</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2</w:t>
            </w:r>
          </w:p>
        </w:tc>
        <w:tc>
          <w:tcPr/>
          <w:p>
            <w:pPr>
              <w:pStyle w:val="Compact"/>
              <w:jc w:val="left"/>
            </w:pPr>
            <w:r>
              <w:t xml:space="preserve">Detailed architectural design, structural coordination, and preparation of planning application documents for the Berlin building authority (Bezirksamt Neukölln)</w:t>
            </w:r>
          </w:p>
        </w:tc>
        <w:tc>
          <w:tcPr/>
          <w:p>
            <w:pPr>
              <w:pStyle w:val="Compact"/>
              <w:jc w:val="left"/>
            </w:pPr>
            <w:r>
              <w:t xml:space="preserve">LP 2 – Entwurfsplanung</w:t>
            </w:r>
          </w:p>
        </w:tc>
        <w:tc>
          <w:tcPr/>
          <w:p>
            <w:pPr>
              <w:pStyle w:val="Compact"/>
              <w:jc w:val="left"/>
            </w:pPr>
            <w:r>
              <w:t xml:space="preserve">72</w:t>
            </w:r>
          </w:p>
        </w:tc>
        <w:tc>
          <w:tcPr/>
          <w:p>
            <w:pPr>
              <w:pStyle w:val="Compact"/>
              <w:jc w:val="left"/>
            </w:pPr>
            <w:r>
              <w:t xml:space="preserve">€145.00</w:t>
            </w:r>
          </w:p>
        </w:tc>
        <w:tc>
          <w:tcPr/>
          <w:p>
            <w:pPr>
              <w:pStyle w:val="Compact"/>
              <w:jc w:val="left"/>
            </w:pPr>
            <w:r>
              <w:t xml:space="preserve">€10,440.00</w:t>
            </w:r>
          </w:p>
        </w:tc>
      </w:tr>
      <w:tr>
        <w:tc>
          <w:tcPr/>
          <w:p>
            <w:pPr>
              <w:pStyle w:val="Compact"/>
              <w:jc w:val="left"/>
            </w:pPr>
            <w:r>
              <w:t xml:space="preserve">3</w:t>
            </w:r>
          </w:p>
        </w:tc>
        <w:tc>
          <w:tcPr/>
          <w:p>
            <w:pPr>
              <w:pStyle w:val="Compact"/>
              <w:jc w:val="left"/>
            </w:pPr>
            <w:r>
              <w:t xml:space="preserve">Execution documentation (Ausführungsplanung), technical drawings, and specification schedules for all trades</w:t>
            </w:r>
          </w:p>
        </w:tc>
        <w:tc>
          <w:tcPr/>
          <w:p>
            <w:pPr>
              <w:pStyle w:val="Compact"/>
              <w:jc w:val="left"/>
            </w:pPr>
            <w:r>
              <w:t xml:space="preserve">LP 3 – Ausführungsplanung</w:t>
            </w:r>
          </w:p>
        </w:tc>
        <w:tc>
          <w:tcPr/>
          <w:p>
            <w:pPr>
              <w:pStyle w:val="Compact"/>
              <w:jc w:val="left"/>
            </w:pPr>
            <w:r>
              <w:t xml:space="preserve">96</w:t>
            </w:r>
          </w:p>
        </w:tc>
        <w:tc>
          <w:tcPr/>
          <w:p>
            <w:pPr>
              <w:pStyle w:val="Compact"/>
              <w:jc w:val="left"/>
            </w:pPr>
            <w:r>
              <w:t xml:space="preserve">€145.00</w:t>
            </w:r>
          </w:p>
        </w:tc>
        <w:tc>
          <w:tcPr/>
          <w:p>
            <w:pPr>
              <w:pStyle w:val="Compact"/>
              <w:jc w:val="left"/>
            </w:pPr>
            <w:r>
              <w:t xml:space="preserve">€13,920.00</w:t>
            </w:r>
          </w:p>
        </w:tc>
      </w:tr>
      <w:tr>
        <w:tc>
          <w:tcPr/>
          <w:p>
            <w:pPr>
              <w:pStyle w:val="Compact"/>
              <w:jc w:val="left"/>
            </w:pPr>
            <w:r>
              <w:t xml:space="preserve">4</w:t>
            </w:r>
          </w:p>
        </w:tc>
        <w:tc>
          <w:tcPr/>
          <w:p>
            <w:pPr>
              <w:pStyle w:val="Compact"/>
              <w:jc w:val="left"/>
            </w:pPr>
            <w:r>
              <w:t xml:space="preserve">Tender preparation, contractor selection support, and contract administration in accordance with VOB/B regulations applicable in Germany Berlin</w:t>
            </w:r>
          </w:p>
        </w:tc>
        <w:tc>
          <w:tcPr/>
          <w:p>
            <w:pPr>
              <w:pStyle w:val="Compact"/>
              <w:jc w:val="left"/>
            </w:pPr>
            <w:r>
              <w:t xml:space="preserve">LP 4 – Vergabe</w:t>
            </w:r>
          </w:p>
        </w:tc>
        <w:tc>
          <w:tcPr/>
          <w:p>
            <w:pPr>
              <w:pStyle w:val="Compact"/>
              <w:jc w:val="left"/>
            </w:pPr>
            <w:r>
              <w:t xml:space="preserve">40</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5</w:t>
            </w:r>
          </w:p>
        </w:tc>
        <w:tc>
          <w:tcPr/>
          <w:p>
            <w:pPr>
              <w:pStyle w:val="Compact"/>
              <w:jc w:val="left"/>
            </w:pPr>
            <w:r>
              <w:t xml:space="preserve">On-site construction supervision, quality assurance, and progress monitoring throughout the build phase in Berlin</w:t>
            </w:r>
          </w:p>
        </w:tc>
        <w:tc>
          <w:tcPr/>
          <w:p>
            <w:pPr>
              <w:pStyle w:val="Compact"/>
              <w:jc w:val="left"/>
            </w:pPr>
            <w:r>
              <w:t xml:space="preserve">LP 5 – Objektüberwachung</w:t>
            </w:r>
          </w:p>
        </w:tc>
        <w:tc>
          <w:tcPr/>
          <w:p>
            <w:pPr>
              <w:pStyle w:val="Compact"/>
              <w:jc w:val="left"/>
            </w:pPr>
            <w:r>
              <w:t xml:space="preserve">120</w:t>
            </w:r>
          </w:p>
        </w:tc>
        <w:tc>
          <w:tcPr/>
          <w:p>
            <w:pPr>
              <w:pStyle w:val="Compact"/>
              <w:jc w:val="left"/>
            </w:pPr>
            <w:r>
              <w:t xml:space="preserve">€135.00</w:t>
            </w:r>
          </w:p>
        </w:tc>
        <w:tc>
          <w:tcPr/>
          <w:p>
            <w:pPr>
              <w:pStyle w:val="Compact"/>
              <w:jc w:val="left"/>
            </w:pPr>
            <w:r>
              <w:t xml:space="preserve">€16,200.00</w:t>
            </w:r>
          </w:p>
        </w:tc>
      </w:tr>
      <w:tr>
        <w:tc>
          <w:tcPr/>
          <w:p>
            <w:pPr>
              <w:pStyle w:val="Compact"/>
              <w:jc w:val="left"/>
            </w:pPr>
            <w:r>
              <w:t xml:space="preserve">6</w:t>
            </w:r>
          </w:p>
        </w:tc>
        <w:tc>
          <w:tcPr/>
          <w:p>
            <w:pPr>
              <w:pStyle w:val="Compact"/>
              <w:jc w:val="left"/>
            </w:pPr>
            <w:r>
              <w:t xml:space="preserve">Final acceptance (Abnahme), as-built documentation, and handover of all architectural records to the client</w:t>
            </w:r>
          </w:p>
        </w:tc>
        <w:tc>
          <w:tcPr/>
          <w:p>
            <w:pPr>
              <w:pStyle w:val="Compact"/>
              <w:jc w:val="left"/>
            </w:pPr>
            <w:r>
              <w:t xml:space="preserve">LP 6 – Objektbetreuung</w:t>
            </w:r>
          </w:p>
        </w:tc>
        <w:tc>
          <w:tcPr/>
          <w:p>
            <w:pPr>
              <w:pStyle w:val="Compact"/>
              <w:jc w:val="left"/>
            </w:pPr>
            <w:r>
              <w:t xml:space="preserve">32</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7</w:t>
            </w:r>
          </w:p>
        </w:tc>
        <w:tc>
          <w:tcPr/>
          <w:p>
            <w:pPr>
              <w:pStyle w:val="Compact"/>
              <w:jc w:val="left"/>
            </w:pPr>
            <w:r>
              <w:t xml:space="preserve">Energy concept design, GEG compliance certification, and coordination with the Berlin energy consulting office</w:t>
            </w:r>
          </w:p>
        </w:tc>
        <w:tc>
          <w:tcPr/>
          <w:p>
            <w:pPr>
              <w:pStyle w:val="Compact"/>
              <w:jc w:val="left"/>
            </w:pPr>
            <w:r>
              <w:t xml:space="preserve">Special Service</w:t>
            </w:r>
          </w:p>
        </w:tc>
        <w:tc>
          <w:tcPr/>
          <w:p>
            <w:pPr>
              <w:pStyle w:val="Compact"/>
              <w:jc w:val="left"/>
            </w:pPr>
            <w:r>
              <w:t xml:space="preserve">24</w:t>
            </w:r>
          </w:p>
        </w:tc>
        <w:tc>
          <w:tcPr/>
          <w:p>
            <w:pPr>
              <w:pStyle w:val="Compact"/>
              <w:jc w:val="left"/>
            </w:pPr>
            <w:r>
              <w:t xml:space="preserve">€155.00</w:t>
            </w:r>
          </w:p>
        </w:tc>
        <w:tc>
          <w:tcPr/>
          <w:p>
            <w:pPr>
              <w:pStyle w:val="Compact"/>
              <w:jc w:val="left"/>
            </w:pPr>
            <w:r>
              <w:t xml:space="preserve">€3,720.00</w:t>
            </w:r>
          </w:p>
        </w:tc>
      </w:tr>
      <w:tr>
        <w:tc>
          <w:tcPr/>
          <w:p>
            <w:pPr>
              <w:pStyle w:val="Compact"/>
              <w:jc w:val="left"/>
            </w:pPr>
            <w:r>
              <w:t xml:space="preserve">8</w:t>
            </w:r>
          </w:p>
        </w:tc>
        <w:tc>
          <w:tcPr/>
          <w:p>
            <w:pPr>
              <w:pStyle w:val="Compact"/>
              <w:jc w:val="left"/>
            </w:pPr>
            <w:r>
              <w:t xml:space="preserve">Heritage and urban design consultation with the Berlin Senate Department for Urban Development (Senatsverwaltung für Stadtentwicklung)</w:t>
            </w:r>
          </w:p>
        </w:tc>
        <w:tc>
          <w:tcPr/>
          <w:p>
            <w:pPr>
              <w:pStyle w:val="Compact"/>
              <w:jc w:val="left"/>
            </w:pPr>
            <w:r>
              <w:t xml:space="preserve">Special Service</w:t>
            </w:r>
          </w:p>
        </w:tc>
        <w:tc>
          <w:tcPr/>
          <w:p>
            <w:pPr>
              <w:pStyle w:val="Compact"/>
              <w:jc w:val="left"/>
            </w:pPr>
            <w:r>
              <w:t xml:space="preserve">16</w:t>
            </w:r>
          </w:p>
        </w:tc>
        <w:tc>
          <w:tcPr/>
          <w:p>
            <w:pPr>
              <w:pStyle w:val="Compact"/>
              <w:jc w:val="left"/>
            </w:pPr>
            <w:r>
              <w:t xml:space="preserve">€155.00</w:t>
            </w:r>
          </w:p>
        </w:tc>
        <w:tc>
          <w:tcPr/>
          <w:p>
            <w:pPr>
              <w:pStyle w:val="Compact"/>
              <w:jc w:val="left"/>
            </w:pPr>
            <w:r>
              <w:t xml:space="preserve">€2,480.00</w:t>
            </w:r>
          </w:p>
        </w:tc>
      </w:tr>
      <w:tr>
        <w:tc>
          <w:tcPr>
            <w:gridSpan w:val="5"/>
          </w:tcPr>
          <w:p>
            <w:pPr>
              <w:pStyle w:val="Compact"/>
              <w:jc w:val="left"/>
            </w:pPr>
            <w:r>
              <w:t xml:space="preserve">Subtotal (Net)</w:t>
            </w:r>
          </w:p>
        </w:tc>
        <w:tc>
          <w:tcPr/>
          <w:p>
            <w:pPr>
              <w:pStyle w:val="Compact"/>
              <w:jc w:val="left"/>
            </w:pPr>
            <w:r>
              <w:t xml:space="preserve">€64,160.00</w:t>
            </w:r>
          </w:p>
        </w:tc>
      </w:tr>
      <w:tr>
        <w:tc>
          <w:tcPr>
            <w:gridSpan w:val="5"/>
          </w:tcPr>
          <w:p>
            <w:pPr>
              <w:pStyle w:val="Compact"/>
              <w:jc w:val="left"/>
            </w:pPr>
            <w:r>
              <w:t xml:space="preserve">VAT (19% – German Value Added Tax)</w:t>
            </w:r>
          </w:p>
        </w:tc>
        <w:tc>
          <w:tcPr/>
          <w:p>
            <w:pPr>
              <w:pStyle w:val="Compact"/>
              <w:jc w:val="left"/>
            </w:pPr>
            <w:r>
              <w:t xml:space="preserve">€12,190.40</w:t>
            </w:r>
          </w:p>
        </w:tc>
      </w:tr>
      <w:tr>
        <w:tc>
          <w:tcPr>
            <w:gridSpan w:val="5"/>
          </w:tcPr>
          <w:p>
            <w:pPr>
              <w:pStyle w:val="Compact"/>
              <w:jc w:val="left"/>
            </w:pPr>
            <w:r>
              <w:rPr>
                <w:bCs/>
                <w:b/>
              </w:rPr>
              <w:t xml:space="preserve">TOTAL QUOTATION ESTIMATE (Gross)</w:t>
            </w:r>
          </w:p>
        </w:tc>
        <w:tc>
          <w:tcPr/>
          <w:p>
            <w:pPr>
              <w:pStyle w:val="Compact"/>
              <w:jc w:val="left"/>
            </w:pPr>
            <w:r>
              <w:rPr>
                <w:bCs/>
                <w:b/>
              </w:rPr>
              <w:t xml:space="preserve">€76,350.40</w:t>
            </w:r>
          </w:p>
        </w:tc>
      </w:tr>
    </w:tbl>
    <w:p>
      <w:pPr>
        <w:pStyle w:val="BodyText"/>
      </w:pPr>
      <w:r>
        <w:t xml:space="preserve">4. Payment Terms</w:t>
      </w:r>
    </w:p>
    <w:p>
      <w:pPr>
        <w:pStyle w:val="BodyText"/>
      </w:pPr>
      <w:r>
        <w:t xml:space="preserve">This</w:t>
      </w:r>
      <w:r>
        <w:t xml:space="preserve"> </w:t>
      </w:r>
      <w:r>
        <w:t xml:space="preserve">Quotation Estimate</w:t>
      </w:r>
      <w:r>
        <w:t xml:space="preserve"> </w:t>
      </w:r>
      <w:r>
        <w:t xml:space="preserve">for</w:t>
      </w:r>
      <w:r>
        <w:t xml:space="preserve"> </w:t>
      </w:r>
      <w:r>
        <w:t xml:space="preserve">Architect</w:t>
      </w:r>
      <w:r>
        <w:t xml:space="preserve"> </w:t>
      </w:r>
      <w:r>
        <w:t xml:space="preserve">services shall be invoiced in six equal instalments aligned with the HOAI project phases. Payment is due within 30 days of invoice date via bank transfer to the firm's account at Commerzbank Berlin (IBAN: DE89 3704 0044 0532 0130 00). A 10% mobilisation deposit is required upon acceptance of this</w:t>
      </w:r>
      <w:r>
        <w:t xml:space="preserve"> </w:t>
      </w:r>
      <w:r>
        <w:t xml:space="preserve">Quotation Estimate</w:t>
      </w:r>
      <w:r>
        <w:t xml:space="preserve"> </w:t>
      </w:r>
      <w:r>
        <w:t xml:space="preserve">to commence the</w:t>
      </w:r>
      <w:r>
        <w:t xml:space="preserve"> </w:t>
      </w:r>
      <w:r>
        <w:t xml:space="preserve">Architect</w:t>
      </w:r>
      <w:r>
        <w:t xml:space="preserve">'s initial design work.</w:t>
      </w:r>
    </w:p>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expiry, the</w:t>
      </w:r>
      <w:r>
        <w:t xml:space="preserve"> </w:t>
      </w:r>
      <w:r>
        <w:t xml:space="preserve">Architect</w:t>
      </w:r>
      <w:r>
        <w:t xml:space="preserve"> </w:t>
      </w:r>
      <w:r>
        <w:t xml:space="preserve">reserves the right to revise fees based on current market rates in</w:t>
      </w:r>
      <w:r>
        <w:t xml:space="preserve"> </w:t>
      </w:r>
      <w:r>
        <w:t xml:space="preserve">Germany Berlin</w:t>
      </w:r>
      <w:r>
        <w:t xml:space="preserve">.</w:t>
      </w:r>
    </w:p>
    <w:p>
      <w:pPr>
        <w:numPr>
          <w:ilvl w:val="0"/>
          <w:numId w:val="1001"/>
        </w:numPr>
        <w:pStyle w:val="Compact"/>
      </w:pPr>
      <w:r>
        <w:t xml:space="preserve">All</w:t>
      </w:r>
      <w:r>
        <w:t xml:space="preserve"> </w:t>
      </w:r>
      <w:r>
        <w:t xml:space="preserve">Architect</w:t>
      </w:r>
      <w:r>
        <w:t xml:space="preserve"> </w:t>
      </w:r>
      <w:r>
        <w:t xml:space="preserve">services shall be performed in strict accordance with the HOAI, the German Civil Code (BGB), and the professional code of conduct of the Architektenkammer Berlin.</w:t>
      </w:r>
    </w:p>
    <w:p>
      <w:pPr>
        <w:numPr>
          <w:ilvl w:val="0"/>
          <w:numId w:val="1001"/>
        </w:numPr>
        <w:pStyle w:val="Compact"/>
      </w:pPr>
      <w:r>
        <w:t xml:space="preserve">The</w:t>
      </w:r>
      <w:r>
        <w:t xml:space="preserve"> </w:t>
      </w:r>
      <w:r>
        <w:t xml:space="preserve">Architect</w:t>
      </w:r>
      <w:r>
        <w:t xml:space="preserve"> </w:t>
      </w:r>
      <w:r>
        <w:t xml:space="preserve">shall carry out professional liability insurance (Berufshaftpflichtversicherung) with a minimum coverage of €5,000,000 per claim, as mandated for registered architects practising in Germany Berlin.</w:t>
      </w:r>
    </w:p>
    <w:p>
      <w:pPr>
        <w:numPr>
          <w:ilvl w:val="0"/>
          <w:numId w:val="1001"/>
        </w:numPr>
        <w:pStyle w:val="Compact"/>
      </w:pPr>
      <w:r>
        <w:t xml:space="preserve">Any changes to the project scope, site conditions, or planning requirements in Berlin that materially alter the workload shall be subject to a supplementary</w:t>
      </w:r>
      <w:r>
        <w:t xml:space="preserve"> </w:t>
      </w:r>
      <w:r>
        <w:t xml:space="preserve">Quotation Estimate</w:t>
      </w:r>
      <w:r>
        <w:t xml:space="preserve"> </w:t>
      </w:r>
      <w:r>
        <w:t xml:space="preserve">issued by the</w:t>
      </w:r>
      <w:r>
        <w:t xml:space="preserve"> </w:t>
      </w:r>
      <w:r>
        <w:t xml:space="preserve">Architect</w:t>
      </w:r>
      <w:r>
        <w:t xml:space="preserve"> </w:t>
      </w:r>
      <w:r>
        <w:t xml:space="preserve">prior to additional work commencing.</w:t>
      </w:r>
    </w:p>
    <w:p>
      <w:pPr>
        <w:numPr>
          <w:ilvl w:val="0"/>
          <w:numId w:val="1001"/>
        </w:numPr>
        <w:pStyle w:val="Compact"/>
      </w:pPr>
      <w:r>
        <w:t xml:space="preserve">All intellectual property rights in the architectural drawings, 3D models, and design documentation produced by the</w:t>
      </w:r>
      <w:r>
        <w:t xml:space="preserve"> </w:t>
      </w:r>
      <w:r>
        <w:t xml:space="preserve">Architect</w:t>
      </w:r>
      <w:r>
        <w:t xml:space="preserve"> </w:t>
      </w:r>
      <w:r>
        <w:t xml:space="preserve">remain with Berlin Architekturbüro GmbH. The client receives a non-exclusive licence to use the documentation for the specific project in</w:t>
      </w:r>
      <w:r>
        <w:t xml:space="preserve"> </w:t>
      </w:r>
      <w:r>
        <w:t xml:space="preserve">Germany Berlin</w:t>
      </w:r>
      <w:r>
        <w:t xml:space="preserve">.</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w:t>
      </w:r>
      <w:r>
        <w:t xml:space="preserve"> </w:t>
      </w:r>
      <w:r>
        <w:t xml:space="preserve">Architect</w:t>
      </w:r>
      <w:r>
        <w:t xml:space="preserve"> </w:t>
      </w:r>
      <w:r>
        <w:t xml:space="preserve">engagement shall be governed by the laws of the Federal Republic of Germany, with exclusive jurisdiction of the competent courts in Berlin.</w:t>
      </w:r>
    </w:p>
    <w:p>
      <w:pPr>
        <w:numPr>
          <w:ilvl w:val="0"/>
          <w:numId w:val="1001"/>
        </w:numPr>
        <w:pStyle w:val="Compact"/>
      </w:pPr>
      <w:r>
        <w:t xml:space="preserve">The</w:t>
      </w:r>
      <w:r>
        <w:t xml:space="preserve"> </w:t>
      </w:r>
      <w:r>
        <w:t xml:space="preserve">Architect</w:t>
      </w:r>
      <w:r>
        <w:t xml:space="preserve"> </w:t>
      </w:r>
      <w:r>
        <w:t xml:space="preserve">shall comply with all data protection requirements under the GDPR (DSGVO) and the German Federal Data Protection Act (BDSG) in the handling of client and project information.</w:t>
      </w:r>
    </w:p>
    <w:p>
      <w:pPr>
        <w:pStyle w:val="FirstParagraph"/>
      </w:pPr>
      <w:r>
        <w:t xml:space="preserve">6. Acceptance</w:t>
      </w:r>
    </w:p>
    <w:p>
      <w:pPr>
        <w:pStyle w:val="BodyText"/>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Architect</w:t>
      </w:r>
      <w:r>
        <w:t xml:space="preserve"> </w:t>
      </w:r>
      <w:r>
        <w:t xml:space="preserve">services described herein, to be executed at the project site in</w:t>
      </w:r>
      <w:r>
        <w:t xml:space="preserve"> </w:t>
      </w:r>
      <w:r>
        <w:t xml:space="preserve">Germany Berlin</w:t>
      </w:r>
      <w:r>
        <w:t xml:space="preserve">. The</w:t>
      </w:r>
      <w:r>
        <w:t xml:space="preserve"> </w:t>
      </w:r>
      <w:r>
        <w:t xml:space="preserve">Architect</w:t>
      </w:r>
      <w:r>
        <w:t xml:space="preserve"> </w:t>
      </w:r>
      <w:r>
        <w:t xml:space="preserve">confirms availability to commence work within 14 business days of written acceptance.</w:t>
      </w:r>
    </w:p>
    <w:p>
      <w:pPr>
        <w:pStyle w:val="BodyText"/>
      </w:pPr>
      <w:r>
        <w:rPr>
          <w:bCs/>
          <w:b/>
        </w:rPr>
        <w:t xml:space="preserve">For Berlin Architekturbüro GmbH (Architect)</w:t>
      </w:r>
      <w:r>
        <w:br/>
      </w:r>
      <w:r>
        <w:t xml:space="preserve">Name: Prof. Dr. Elena Hartmann</w:t>
      </w:r>
      <w:r>
        <w:br/>
      </w:r>
      <w:r>
        <w:t xml:space="preserve">Registered Architect – Architektenkammer Berlin, No. 4521</w:t>
      </w:r>
      <w:r>
        <w:br/>
      </w:r>
      <w:r>
        <w:t xml:space="preserve">Signature &amp; Date: ___________________________</w:t>
      </w:r>
    </w:p>
    <w:p>
      <w:pPr>
        <w:pStyle w:val="BodyText"/>
      </w:pPr>
      <w:r>
        <w:rPr>
          <w:bCs/>
          <w:b/>
        </w:rPr>
        <w:t xml:space="preserve">For the Client (Weber Immobilien GmbH)</w:t>
      </w:r>
      <w:r>
        <w:br/>
      </w:r>
      <w:r>
        <w:t xml:space="preserve">Name: Dr. Markus Weber</w:t>
      </w:r>
      <w:r>
        <w:br/>
      </w:r>
      <w:r>
        <w:t xml:space="preserve">Authorised Signatory</w:t>
      </w:r>
      <w:r>
        <w:br/>
      </w:r>
      <w:r>
        <w:t xml:space="preserve">Signature &amp; Date: ___________________________</w:t>
      </w:r>
    </w:p>
    <w:p>
      <w:pPr>
        <w:pStyle w:val="BodyText"/>
      </w:pPr>
      <w:r>
        <w:t xml:space="preserve">This Quotation Estimate (Ref. QE-2025-0471) was prepared by Berlin Architekturbüro GmbH, a licensed Architect practice in Germany Berlin.</w:t>
      </w:r>
      <w:r>
        <w:t xml:space="preserve"> </w:t>
      </w:r>
      <w:r>
        <w:t xml:space="preserve">This document is confidential and intended solely for the named client. Unauthorised reproduction or distribution is prohibited.</w:t>
      </w:r>
      <w:r>
        <w:t xml:space="preserve"> </w:t>
      </w:r>
      <w:r>
        <w:t xml:space="preserve">© 2025 Berlin Architekturbüro GmbH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Germany Berlin</dc:title>
  <dc:creator/>
  <dc:language>en</dc:language>
  <cp:keywords/>
  <dcterms:created xsi:type="dcterms:W3CDTF">2026-10-10T06:14:11Z</dcterms:created>
  <dcterms:modified xsi:type="dcterms:W3CDTF">2026-10-10T06:14:11Z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