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X0e3db49cd61c346d60e44f8a97d59ed87213095"/>
    <w:p>
      <w:pPr>
        <w:pStyle w:val="Heading1"/>
      </w:pPr>
      <w:r>
        <w:t xml:space="preserve">Frankfurt Architectural Design Studio GmbH</w:t>
      </w:r>
    </w:p>
    <w:p>
      <w:pPr>
        <w:pStyle w:val="FirstParagraph"/>
      </w:pPr>
      <w:r>
        <w:t xml:space="preserve">Mainzer Landstraße 142, 60329 Frankfurt am Main, Germany</w:t>
      </w:r>
      <w:r>
        <w:br/>
      </w:r>
      <w:r>
        <w:t xml:space="preserve">Phone: +49 (0)69 4455 8820  |  Email: info@frankfurt-architects.de</w:t>
      </w:r>
      <w:r>
        <w:br/>
      </w:r>
      <w:r>
        <w:t xml:space="preserve">VAT ID: DE 318 456 721  |  Chamber of Architects: Architektenkammer Hessen, Reg. No. 4521-FA</w:t>
      </w:r>
    </w:p>
    <w:bookmarkEnd w:id="20"/>
    <w:p>
      <w:pPr>
        <w:pStyle w:val="BodyText"/>
      </w:pPr>
      <w:r>
        <w:t xml:space="preserve">Quotation Estimate – Architect Services</w:t>
      </w:r>
    </w:p>
    <w:bookmarkStart w:id="21" w:name="document-reference"/>
    <w:p>
      <w:pPr>
        <w:pStyle w:val="Heading2"/>
      </w:pPr>
      <w:r>
        <w:t xml:space="preserve">Document Reference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No.</w:t>
            </w:r>
          </w:p>
        </w:tc>
        <w:tc>
          <w:tcPr/>
          <w:p>
            <w:pPr>
              <w:pStyle w:val="Compact"/>
              <w:jc w:val="left"/>
            </w:pPr>
            <w:r>
              <w:t xml:space="preserve">Date of Issue</w:t>
            </w:r>
          </w:p>
        </w:tc>
        <w:tc>
          <w:tcPr/>
          <w:p>
            <w:pPr>
              <w:pStyle w:val="Compact"/>
              <w:jc w:val="left"/>
            </w:pPr>
            <w:r>
              <w:t xml:space="preserve">Valid Until</w:t>
            </w:r>
          </w:p>
        </w:tc>
        <w:tc>
          <w:tcPr/>
          <w:p>
            <w:pPr>
              <w:pStyle w:val="Compact"/>
              <w:jc w:val="left"/>
            </w:pPr>
            <w:r>
              <w:t xml:space="preserve">Project Reference</w:t>
            </w:r>
          </w:p>
        </w:tc>
      </w:tr>
      <w:tr>
        <w:tc>
          <w:tcPr/>
          <w:p>
            <w:pPr>
              <w:pStyle w:val="Compact"/>
              <w:jc w:val="left"/>
            </w:pPr>
            <w:r>
              <w:t xml:space="preserve">QTE-2025-FA-00847</w:t>
            </w:r>
          </w:p>
        </w:tc>
        <w:tc>
          <w:tcPr/>
          <w:p>
            <w:pPr>
              <w:pStyle w:val="Compact"/>
              <w:jc w:val="left"/>
            </w:pPr>
            <w:r>
              <w:t xml:space="preserve">14 June 2025</w:t>
            </w:r>
          </w:p>
        </w:tc>
        <w:tc>
          <w:tcPr/>
          <w:p>
            <w:pPr>
              <w:pStyle w:val="Compact"/>
              <w:jc w:val="left"/>
            </w:pPr>
            <w:r>
              <w:t xml:space="preserve">14 September 2025</w:t>
            </w:r>
          </w:p>
        </w:tc>
        <w:tc>
          <w:tcPr/>
          <w:p>
            <w:pPr>
              <w:pStyle w:val="Compact"/>
              <w:jc w:val="left"/>
            </w:pPr>
            <w:r>
              <w:t xml:space="preserve">PRJ-FA-2025-0312</w:t>
            </w:r>
          </w:p>
        </w:tc>
      </w:tr>
    </w:tbl>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Herr Markus Steinbach</w:t>
      </w:r>
    </w:p>
    <w:p>
      <w:pPr>
        <w:pStyle w:val="BodyText"/>
      </w:pPr>
      <w:r>
        <w:rPr>
          <w:bCs/>
          <w:b/>
        </w:rPr>
        <w:t xml:space="preserve">Company:</w:t>
      </w:r>
      <w:r>
        <w:t xml:space="preserve"> </w:t>
      </w:r>
      <w:r>
        <w:t xml:space="preserve">Steinbach Immobilien GmbH</w:t>
      </w:r>
    </w:p>
    <w:p>
      <w:pPr>
        <w:pStyle w:val="BodyText"/>
      </w:pPr>
      <w:r>
        <w:rPr>
          <w:bCs/>
          <w:b/>
        </w:rPr>
        <w:t xml:space="preserve">Address:</w:t>
      </w:r>
      <w:r>
        <w:t xml:space="preserve"> </w:t>
      </w:r>
      <w:r>
        <w:t xml:space="preserve">Bockenheimer Landstraße 88, 60323 Frankfurt am Main, Germany</w:t>
      </w:r>
    </w:p>
    <w:p>
      <w:pPr>
        <w:pStyle w:val="BodyText"/>
      </w:pPr>
      <w:r>
        <w:rPr>
          <w:bCs/>
          <w:b/>
        </w:rPr>
        <w:t xml:space="preserve">Contact:</w:t>
      </w:r>
      <w:r>
        <w:t xml:space="preserve"> </w:t>
      </w:r>
      <w:r>
        <w:t xml:space="preserve">m.steinbach@steinbach-immobilien.de</w:t>
      </w:r>
    </w:p>
    <w:bookmarkEnd w:id="22"/>
    <w:bookmarkStart w:id="23" w:name="prepared-by-architect"/>
    <w:p>
      <w:pPr>
        <w:pStyle w:val="Heading3"/>
      </w:pPr>
      <w:r>
        <w:t xml:space="preserve">Prepared By (Architect)</w:t>
      </w:r>
    </w:p>
    <w:p>
      <w:pPr>
        <w:pStyle w:val="FirstParagraph"/>
      </w:pPr>
      <w:r>
        <w:rPr>
          <w:bCs/>
          <w:b/>
        </w:rPr>
        <w:t xml:space="preserve">Lead Architect:</w:t>
      </w:r>
      <w:r>
        <w:t xml:space="preserve"> </w:t>
      </w:r>
      <w:r>
        <w:t xml:space="preserve">Dipl.-Ing. (FH) Dr. Elena Hoffmann</w:t>
      </w:r>
    </w:p>
    <w:p>
      <w:pPr>
        <w:pStyle w:val="BodyText"/>
      </w:pPr>
      <w:r>
        <w:rPr>
          <w:bCs/>
          <w:b/>
        </w:rPr>
        <w:t xml:space="preserve">Role:</w:t>
      </w:r>
      <w:r>
        <w:t xml:space="preserve"> </w:t>
      </w:r>
      <w:r>
        <w:t xml:space="preserve">Senior Architect, Frankfurt Architectural Design Studio GmbH</w:t>
      </w:r>
    </w:p>
    <w:p>
      <w:pPr>
        <w:pStyle w:val="BodyText"/>
      </w:pPr>
      <w:r>
        <w:rPr>
          <w:bCs/>
          <w:b/>
        </w:rPr>
        <w:t xml:space="preserve">Licence:</w:t>
      </w:r>
      <w:r>
        <w:t xml:space="preserve"> </w:t>
      </w:r>
      <w:r>
        <w:t xml:space="preserve">Architektenkammer Hessen, Licence No. 2019-FA-0042</w:t>
      </w:r>
    </w:p>
    <w:p>
      <w:pPr>
        <w:pStyle w:val="BodyText"/>
      </w:pPr>
      <w:r>
        <w:rPr>
          <w:bCs/>
          <w:b/>
        </w:rPr>
        <w:t xml:space="preserve">Contact:</w:t>
      </w:r>
      <w:r>
        <w:t xml:space="preserve"> </w:t>
      </w:r>
      <w:r>
        <w:t xml:space="preserve">e.hoffmann@frankfurt-architects.de</w:t>
      </w:r>
    </w:p>
    <w:bookmarkEnd w:id="23"/>
    <w:bookmarkStart w:id="24" w:name="project-description"/>
    <w:p>
      <w:pPr>
        <w:pStyle w:val="Heading2"/>
      </w:pPr>
      <w:r>
        <w:t xml:space="preserve">Project Description</w:t>
      </w:r>
    </w:p>
    <w:p>
      <w:pPr>
        <w:pStyle w:val="FirstParagraph"/>
      </w:pPr>
      <w:r>
        <w:t xml:space="preserve">This Quotation Estimate is issued by Frankfurt Architectural Design Studio GmbH in its capacity as a licensed</w:t>
      </w:r>
      <w:r>
        <w:t xml:space="preserve"> </w:t>
      </w:r>
      <w:r>
        <w:t xml:space="preserve">Architect</w:t>
      </w:r>
      <w:r>
        <w:t xml:space="preserve"> </w:t>
      </w:r>
      <w:r>
        <w:t xml:space="preserve">operating under the professional regulations of the State of Hesse, Germany. The proposed</w:t>
      </w:r>
      <w:r>
        <w:t xml:space="preserve"> </w:t>
      </w:r>
      <w:r>
        <w:t xml:space="preserve">Architect</w:t>
      </w:r>
      <w:r>
        <w:t xml:space="preserve"> </w:t>
      </w:r>
      <w:r>
        <w:t xml:space="preserve">services pertain to the complete design, planning, and construction supervision of a mixed-use residential and commercial building located at Goethestraße 214, 60313 Frankfurt am Main, Germany. The project encompasses a six-storey structure with a gross floor area of approximately 4,200 square metres, including underground parking, ground-floor retail space, and forty-two residential units. All architectural deliverables shall comply with the building regulations of the City of Frankfurt (Frankfurter Bauordnung), the German Building Code (BauGB), and the applicable provisions of the HOAI (Honorarordnung für Architekten und Ingenieure) as currently in force in Germany.</w:t>
      </w:r>
    </w:p>
    <w:bookmarkEnd w:id="24"/>
    <w:bookmarkStart w:id="25" w:name="scope-of-architect-services"/>
    <w:p>
      <w:pPr>
        <w:pStyle w:val="Heading2"/>
      </w:pPr>
      <w:r>
        <w:t xml:space="preserve">Scope of Architect Services</w:t>
      </w:r>
    </w:p>
    <w:p>
      <w:pPr>
        <w:pStyle w:val="FirstParagraph"/>
      </w:pPr>
      <w:r>
        <w:t xml:space="preserve">The following</w:t>
      </w:r>
      <w:r>
        <w:t xml:space="preserve"> </w:t>
      </w:r>
      <w:r>
        <w:t xml:space="preserve">Architect</w:t>
      </w:r>
      <w:r>
        <w:t xml:space="preserve"> </w:t>
      </w:r>
      <w:r>
        <w:t xml:space="preserve">services are included in this Quotation Estimate, structured in accordance with the standard performance phases (Leistungsphasen) defined by the HOAI for building construction in Germany: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Description of Architect Work</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Subtotal (EUR)</w:t>
            </w:r>
          </w:p>
        </w:tc>
      </w:tr>
      <w:tr>
        <w:tc>
          <w:tcPr/>
          <w:p>
            <w:pPr>
              <w:pStyle w:val="Compact"/>
              <w:jc w:val="left"/>
            </w:pPr>
            <w:r>
              <w:t xml:space="preserve">LP 1 – Basic Planning</w:t>
            </w:r>
          </w:p>
        </w:tc>
        <w:tc>
          <w:tcPr/>
          <w:p>
            <w:pPr>
              <w:pStyle w:val="Compact"/>
              <w:jc w:val="left"/>
            </w:pPr>
            <w:r>
              <w:t xml:space="preserve">Site analysis, feasibility study, preliminary massing studies, and concept development for the Frankfurt location</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LP 2 – Planning</w:t>
            </w:r>
          </w:p>
        </w:tc>
        <w:tc>
          <w:tcPr/>
          <w:p>
            <w:pPr>
              <w:pStyle w:val="Compact"/>
              <w:jc w:val="left"/>
            </w:pPr>
            <w:r>
              <w:t xml:space="preserve">Detailed architectural design, structural coordination, energy concept (EnEV/GEG compliance), and material specifications</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LP 3 – Approval Planning</w:t>
            </w:r>
          </w:p>
        </w:tc>
        <w:tc>
          <w:tcPr/>
          <w:p>
            <w:pPr>
              <w:pStyle w:val="Compact"/>
              <w:jc w:val="left"/>
            </w:pPr>
            <w:r>
              <w:t xml:space="preserve">Preparation of full building permit documentation for submission to the Frankfurt Building Authority (Frankfurt am Main, Bauaufsichtsamt)</w:t>
            </w:r>
          </w:p>
        </w:tc>
        <w:tc>
          <w:tcPr/>
          <w:p>
            <w:pPr>
              <w:pStyle w:val="Compact"/>
              <w:jc w:val="left"/>
            </w:pPr>
            <w:r>
              <w:t xml:space="preserve">150</w:t>
            </w:r>
          </w:p>
        </w:tc>
        <w:tc>
          <w:tcPr/>
          <w:p>
            <w:pPr>
              <w:pStyle w:val="Compact"/>
              <w:jc w:val="left"/>
            </w:pPr>
            <w:r>
              <w:t xml:space="preserve">145.00</w:t>
            </w:r>
          </w:p>
        </w:tc>
        <w:tc>
          <w:tcPr/>
          <w:p>
            <w:pPr>
              <w:pStyle w:val="Compact"/>
              <w:jc w:val="left"/>
            </w:pPr>
            <w:r>
              <w:t xml:space="preserve">21,750.00</w:t>
            </w:r>
          </w:p>
        </w:tc>
      </w:tr>
      <w:tr>
        <w:tc>
          <w:tcPr/>
          <w:p>
            <w:pPr>
              <w:pStyle w:val="Compact"/>
              <w:jc w:val="left"/>
            </w:pPr>
            <w:r>
              <w:t xml:space="preserve">LP 4 – Tender Planning</w:t>
            </w:r>
          </w:p>
        </w:tc>
        <w:tc>
          <w:tcPr/>
          <w:p>
            <w:pPr>
              <w:pStyle w:val="Compact"/>
              <w:jc w:val="left"/>
            </w:pPr>
            <w:r>
              <w:t xml:space="preserve">Issuance of detailed construction drawings, technical specifications, and bill of quantities for contractor tendering</w:t>
            </w:r>
          </w:p>
        </w:tc>
        <w:tc>
          <w:tcPr/>
          <w:p>
            <w:pPr>
              <w:pStyle w:val="Compact"/>
              <w:jc w:val="left"/>
            </w:pPr>
            <w:r>
              <w:t xml:space="preserve">180</w:t>
            </w:r>
          </w:p>
        </w:tc>
        <w:tc>
          <w:tcPr/>
          <w:p>
            <w:pPr>
              <w:pStyle w:val="Compact"/>
              <w:jc w:val="left"/>
            </w:pPr>
            <w:r>
              <w:t xml:space="preserve">145.00</w:t>
            </w:r>
          </w:p>
        </w:tc>
        <w:tc>
          <w:tcPr/>
          <w:p>
            <w:pPr>
              <w:pStyle w:val="Compact"/>
              <w:jc w:val="left"/>
            </w:pPr>
            <w:r>
              <w:t xml:space="preserve">26,100.00</w:t>
            </w:r>
          </w:p>
        </w:tc>
      </w:tr>
      <w:tr>
        <w:tc>
          <w:tcPr/>
          <w:p>
            <w:pPr>
              <w:pStyle w:val="Compact"/>
              <w:jc w:val="left"/>
            </w:pPr>
            <w:r>
              <w:t xml:space="preserve">LP 5 – Construction Supervision</w:t>
            </w:r>
          </w:p>
        </w:tc>
        <w:tc>
          <w:tcPr/>
          <w:p>
            <w:pPr>
              <w:pStyle w:val="Compact"/>
              <w:jc w:val="left"/>
            </w:pPr>
            <w:r>
              <w:t xml:space="preserve">On-site</w:t>
            </w:r>
            <w:r>
              <w:t xml:space="preserve"> </w:t>
            </w:r>
            <w:r>
              <w:t xml:space="preserve">Architect</w:t>
            </w:r>
            <w:r>
              <w:t xml:space="preserve"> </w:t>
            </w:r>
            <w:r>
              <w:t xml:space="preserve">supervision, quality control, progress monitoring, and coordination with all trades throughout the construction period in Frankfurt</w:t>
            </w:r>
          </w:p>
        </w:tc>
        <w:tc>
          <w:tcPr/>
          <w:p>
            <w:pPr>
              <w:pStyle w:val="Compact"/>
              <w:jc w:val="left"/>
            </w:pPr>
            <w:r>
              <w:t xml:space="preserve">320</w:t>
            </w:r>
          </w:p>
        </w:tc>
        <w:tc>
          <w:tcPr/>
          <w:p>
            <w:pPr>
              <w:pStyle w:val="Compact"/>
              <w:jc w:val="left"/>
            </w:pPr>
            <w:r>
              <w:t xml:space="preserve">135.00</w:t>
            </w:r>
          </w:p>
        </w:tc>
        <w:tc>
          <w:tcPr/>
          <w:p>
            <w:pPr>
              <w:pStyle w:val="Compact"/>
              <w:jc w:val="left"/>
            </w:pPr>
            <w:r>
              <w:t xml:space="preserve">43,200.00</w:t>
            </w:r>
          </w:p>
        </w:tc>
      </w:tr>
      <w:tr>
        <w:tc>
          <w:tcPr/>
          <w:p>
            <w:pPr>
              <w:pStyle w:val="Compact"/>
              <w:jc w:val="left"/>
            </w:pPr>
            <w:r>
              <w:t xml:space="preserve">LP 6 – Completion &amp; Handover</w:t>
            </w:r>
          </w:p>
        </w:tc>
        <w:tc>
          <w:tcPr/>
          <w:p>
            <w:pPr>
              <w:pStyle w:val="Compact"/>
              <w:jc w:val="left"/>
            </w:pPr>
            <w:r>
              <w:t xml:space="preserve">Final inspection, as-built documentation, defect rectification oversight, and formal handover to the client</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Additional Services</w:t>
            </w:r>
          </w:p>
        </w:tc>
        <w:tc>
          <w:tcPr/>
          <w:p>
            <w:pPr>
              <w:pStyle w:val="Compact"/>
              <w:jc w:val="left"/>
            </w:pPr>
            <w:r>
              <w:t xml:space="preserve">3D visualisation renders (12 views), BIM coordination (LOD 300), and two client presentation sessions in Frankfurt</w:t>
            </w:r>
          </w:p>
        </w:tc>
        <w:tc>
          <w:tcPr/>
          <w:p>
            <w:pPr>
              <w:pStyle w:val="Compact"/>
              <w:jc w:val="left"/>
            </w:pPr>
            <w:r>
              <w:t xml:space="preserve">60</w:t>
            </w:r>
          </w:p>
        </w:tc>
        <w:tc>
          <w:tcPr/>
          <w:p>
            <w:pPr>
              <w:pStyle w:val="Compact"/>
              <w:jc w:val="left"/>
            </w:pPr>
            <w:r>
              <w:t xml:space="preserve">155.00</w:t>
            </w:r>
          </w:p>
        </w:tc>
        <w:tc>
          <w:tcPr/>
          <w:p>
            <w:pPr>
              <w:pStyle w:val="Compact"/>
              <w:jc w:val="left"/>
            </w:pPr>
            <w:r>
              <w:t xml:space="preserve">9,300.00</w:t>
            </w:r>
          </w:p>
        </w:tc>
      </w:tr>
      <w:tr>
        <w:tc>
          <w:tcPr>
            <w:gridSpan w:val="4"/>
          </w:tcPr>
          <w:p>
            <w:pPr>
              <w:pStyle w:val="Compact"/>
              <w:jc w:val="left"/>
            </w:pPr>
            <w:r>
              <w:t xml:space="preserve">Subtotal (excl. VAT)</w:t>
            </w:r>
          </w:p>
        </w:tc>
        <w:tc>
          <w:tcPr/>
          <w:p>
            <w:pPr>
              <w:pStyle w:val="Compact"/>
              <w:jc w:val="left"/>
            </w:pPr>
            <w:r>
              <w:t xml:space="preserve">158,350.00</w:t>
            </w:r>
          </w:p>
        </w:tc>
      </w:tr>
      <w:tr>
        <w:tc>
          <w:tcPr>
            <w:gridSpan w:val="4"/>
          </w:tcPr>
          <w:p>
            <w:pPr>
              <w:pStyle w:val="Compact"/>
              <w:jc w:val="left"/>
            </w:pPr>
            <w:r>
              <w:t xml:space="preserve">VAT (19% – Germany)</w:t>
            </w:r>
          </w:p>
        </w:tc>
        <w:tc>
          <w:tcPr/>
          <w:p>
            <w:pPr>
              <w:pStyle w:val="Compact"/>
              <w:jc w:val="left"/>
            </w:pPr>
            <w:r>
              <w:t xml:space="preserve">30,086.50</w:t>
            </w:r>
          </w:p>
        </w:tc>
      </w:tr>
      <w:tr>
        <w:tc>
          <w:tcPr>
            <w:gridSpan w:val="4"/>
          </w:tcPr>
          <w:p>
            <w:pPr>
              <w:pStyle w:val="Compact"/>
              <w:jc w:val="left"/>
            </w:pPr>
            <w:r>
              <w:t xml:space="preserve">Total Quotation Estimate (incl. VAT)</w:t>
            </w:r>
          </w:p>
        </w:tc>
        <w:tc>
          <w:tcPr/>
          <w:p>
            <w:pPr>
              <w:pStyle w:val="Compact"/>
              <w:jc w:val="left"/>
            </w:pPr>
            <w:r>
              <w:t xml:space="preserve">188,436.50</w:t>
            </w:r>
          </w:p>
        </w:tc>
      </w:tr>
    </w:tbl>
    <w:bookmarkEnd w:id="25"/>
    <w:bookmarkStart w:id="26" w:name="payment-terms"/>
    <w:p>
      <w:pPr>
        <w:pStyle w:val="Heading2"/>
      </w:pPr>
      <w:r>
        <w:t xml:space="preserve">Payment Terms</w:t>
      </w:r>
    </w:p>
    <w:p>
      <w:pPr>
        <w:pStyle w:val="FirstParagraph"/>
      </w:pPr>
      <w:r>
        <w:t xml:space="preserve">Payment for the</w:t>
      </w:r>
      <w:r>
        <w:t xml:space="preserve"> </w:t>
      </w:r>
      <w:r>
        <w:t xml:space="preserve">Architect</w:t>
      </w:r>
      <w:r>
        <w:t xml:space="preserve"> </w:t>
      </w:r>
      <w:r>
        <w:t xml:space="preserve">services outlined in this Quotation Estimate shall be made in monthly instalments corresponding to the progress of each performance phase. A mobilisation payment of 10% of the total contract value is due upon execution of the Architect contract. The remaining balance shall be invoiced monthly in arrears, with payment due within 30 days of invoice date. All payments shall be made via bank transfer to the account of Frankfurt Architectural Design Studio GmbH, IBAN: DE44 5001 0517 5400 0000 00, BIC: PBNKDEFF. Late payments shall accrue interest at the statutory rate under § 288 of the German Civil Code (BGB).</w:t>
      </w:r>
    </w:p>
    <w:bookmarkEnd w:id="26"/>
    <w:bookmarkStart w:id="27" w:name="terms-and-conditions"/>
    <w:p>
      <w:pPr>
        <w:pStyle w:val="Heading2"/>
      </w:pPr>
      <w:r>
        <w:t xml:space="preserve">Terms and Conditions</w:t>
      </w:r>
    </w:p>
    <w:p>
      <w:pPr>
        <w:numPr>
          <w:ilvl w:val="0"/>
          <w:numId w:val="1001"/>
        </w:numPr>
        <w:pStyle w:val="Compact"/>
      </w:pPr>
      <w:r>
        <w:t xml:space="preserve">This Quotation Estimate is valid for a period of ninety (90) days from the date of issue. After expiry, the</w:t>
      </w:r>
      <w:r>
        <w:t xml:space="preserve"> </w:t>
      </w:r>
      <w:r>
        <w:t xml:space="preserve">Architect</w:t>
      </w:r>
      <w:r>
        <w:t xml:space="preserve"> </w:t>
      </w:r>
      <w:r>
        <w:t xml:space="preserve">reserves the right to revise all rates and conditions.</w:t>
      </w:r>
    </w:p>
    <w:p>
      <w:pPr>
        <w:numPr>
          <w:ilvl w:val="0"/>
          <w:numId w:val="1001"/>
        </w:numPr>
        <w:pStyle w:val="Compact"/>
      </w:pPr>
      <w:r>
        <w:t xml:space="preserve">All</w:t>
      </w:r>
      <w:r>
        <w:t xml:space="preserve"> </w:t>
      </w:r>
      <w:r>
        <w:t xml:space="preserve">Architect</w:t>
      </w:r>
      <w:r>
        <w:t xml:space="preserve"> </w:t>
      </w:r>
      <w:r>
        <w:t xml:space="preserve">services shall be performed in accordance with the professional standards of the Architektenkammer Hessen and the applicable provisions of the HOAI in force in Germany.</w:t>
      </w:r>
    </w:p>
    <w:p>
      <w:pPr>
        <w:numPr>
          <w:ilvl w:val="0"/>
          <w:numId w:val="1001"/>
        </w:numPr>
        <w:pStyle w:val="Compact"/>
      </w:pPr>
      <w:r>
        <w:t xml:space="preserve">The</w:t>
      </w:r>
      <w:r>
        <w:t xml:space="preserve"> </w:t>
      </w:r>
      <w:r>
        <w:t xml:space="preserve">Architect</w:t>
      </w:r>
      <w:r>
        <w:t xml:space="preserve"> </w:t>
      </w:r>
      <w:r>
        <w:t xml:space="preserve">shall carry out professional liability insurance (Berufshaftpflichtversicherung) with a minimum coverage of 5,000,000 EUR, valid throughout the project duration in Frankfurt, Germany.</w:t>
      </w:r>
    </w:p>
    <w:p>
      <w:pPr>
        <w:numPr>
          <w:ilvl w:val="0"/>
          <w:numId w:val="1001"/>
        </w:numPr>
        <w:pStyle w:val="Compact"/>
      </w:pPr>
      <w:r>
        <w:t xml:space="preserve">Any changes to the scope of work beyond the parameters described in this Quotation Estimate shall be subject to a supplementary written agreement and a revised cost estimate.</w:t>
      </w:r>
    </w:p>
    <w:p>
      <w:pPr>
        <w:numPr>
          <w:ilvl w:val="0"/>
          <w:numId w:val="1001"/>
        </w:numPr>
        <w:pStyle w:val="Compact"/>
      </w:pPr>
      <w:r>
        <w:t xml:space="preserve">The</w:t>
      </w:r>
      <w:r>
        <w:t xml:space="preserve"> </w:t>
      </w:r>
      <w:r>
        <w:t xml:space="preserve">Architect</w:t>
      </w:r>
      <w:r>
        <w:t xml:space="preserve"> </w:t>
      </w:r>
      <w:r>
        <w:t xml:space="preserve">shall comply with all data protection regulations under the GDPR (DSGVO) and the German Federal Data Protection Act (BDSG) when handling client and project information.</w:t>
      </w:r>
    </w:p>
    <w:p>
      <w:pPr>
        <w:numPr>
          <w:ilvl w:val="0"/>
          <w:numId w:val="1001"/>
        </w:numPr>
        <w:pStyle w:val="Compact"/>
      </w:pPr>
      <w:r>
        <w:t xml:space="preserve">Disputes arising from this Quotation Estimate or the subsequent Architect contract shall be governed by the laws of the Federal Republic of Germany. The exclusive place of jurisdiction shall be Frankfurt am Main, Germany.</w:t>
      </w:r>
    </w:p>
    <w:p>
      <w:pPr>
        <w:numPr>
          <w:ilvl w:val="0"/>
          <w:numId w:val="1001"/>
        </w:numPr>
        <w:pStyle w:val="Compact"/>
      </w:pPr>
      <w:r>
        <w:t xml:space="preserve">This Quotation Estimate does not constitute a binding contract until formally accepted in writing by both parties and a separate Architect service contract is executed.</w:t>
      </w:r>
    </w:p>
    <w:bookmarkEnd w:id="27"/>
    <w:bookmarkStart w:id="28" w:name="assumptions-and-exclusions"/>
    <w:p>
      <w:pPr>
        <w:pStyle w:val="Heading2"/>
      </w:pPr>
      <w:r>
        <w:t xml:space="preserve">Assumptions and Exclusions</w:t>
      </w:r>
    </w:p>
    <w:p>
      <w:pPr>
        <w:pStyle w:val="FirstParagraph"/>
      </w:pPr>
      <w:r>
        <w:t xml:space="preserve">This Quotation Estimate assumes that the client will provide timely access to the site in Frankfurt am Main and will supply all existing survey data, geotechnical reports, and utility connection information within fourteen (14) days of contract commencement. The estimate excludes statutory planning fees levied by the City of Frankfurt, third-party specialist engineering costs (structural, MEP, geotechnical), and any costs arising from planning authority objections that require a redesign exceeding 15% of the original scope. Travel and accommodation costs for the</w:t>
      </w:r>
      <w:r>
        <w:t xml:space="preserve"> </w:t>
      </w:r>
      <w:r>
        <w:t xml:space="preserve">Architect</w:t>
      </w:r>
      <w:r>
        <w:t xml:space="preserve"> </w:t>
      </w:r>
      <w:r>
        <w:t xml:space="preserve">team, if the project site is located more than 50 km from the Frankfurt studio, shall be billed at actual cost.</w:t>
      </w:r>
    </w:p>
    <w:bookmarkEnd w:id="28"/>
    <w:p>
      <w:pPr>
        <w:pStyle w:val="BodyText"/>
      </w:pPr>
      <w:r>
        <w:rPr>
          <w:bCs/>
          <w:b/>
        </w:rPr>
        <w:t xml:space="preserve">For and on behalf of</w:t>
      </w:r>
      <w:r>
        <w:br/>
      </w:r>
      <w:r>
        <w:t xml:space="preserve">Frankfurt Architectural Design Studio GmbH</w:t>
      </w:r>
    </w:p>
    <w:p>
      <w:pPr>
        <w:pStyle w:val="BodyText"/>
      </w:pPr>
      <w:r>
        <w:t xml:space="preserve">Dr. Elena Hoffmann, Dipl.-Ing. (FH)</w:t>
      </w:r>
      <w:r>
        <w:br/>
      </w:r>
      <w:r>
        <w:t xml:space="preserve">Senior Architect</w:t>
      </w:r>
    </w:p>
    <w:p>
      <w:pPr>
        <w:pStyle w:val="BodyText"/>
      </w:pPr>
      <w:r>
        <w:t xml:space="preserve">Date: ____________________</w:t>
      </w:r>
    </w:p>
    <w:p>
      <w:pPr>
        <w:pStyle w:val="BodyText"/>
      </w:pPr>
      <w:r>
        <w:t xml:space="preserve">Signature &amp; Company Seal</w:t>
      </w:r>
    </w:p>
    <w:p>
      <w:pPr>
        <w:pStyle w:val="BodyText"/>
      </w:pPr>
      <w:r>
        <w:rPr>
          <w:bCs/>
          <w:b/>
        </w:rPr>
        <w:t xml:space="preserve">Accepted by (Client)</w:t>
      </w:r>
      <w:r>
        <w:br/>
      </w:r>
      <w:r>
        <w:t xml:space="preserve">Steinbach Immobilien GmbH</w:t>
      </w:r>
    </w:p>
    <w:p>
      <w:pPr>
        <w:pStyle w:val="BodyText"/>
      </w:pPr>
      <w:r>
        <w:t xml:space="preserve">Herr Markus Steinbach</w:t>
      </w:r>
    </w:p>
    <w:p>
      <w:pPr>
        <w:pStyle w:val="BodyText"/>
      </w:pPr>
      <w:r>
        <w:t xml:space="preserve">Date: ____________________</w:t>
      </w:r>
    </w:p>
    <w:p>
      <w:pPr>
        <w:pStyle w:val="BodyText"/>
      </w:pPr>
      <w:r>
        <w:t xml:space="preserve">Signature &amp; Company Seal</w:t>
      </w:r>
    </w:p>
    <w:p>
      <w:pPr>
        <w:pStyle w:val="BodyText"/>
      </w:pPr>
      <w:r>
        <w:t xml:space="preserve">This Quotation Estimate was prepared by Frankfurt Architectural Design Studio GmbH, a licensed Architect firm registered in Frankfurt am Main, Germany.</w:t>
      </w:r>
      <w:r>
        <w:br/>
      </w:r>
      <w:r>
        <w:t xml:space="preserve">Document No. QTE-2025-FA-00847  |  Page 1 of 1  |  Confidential – For the exclusive use of the addressee.</w:t>
      </w:r>
      <w:r>
        <w:br/>
      </w:r>
      <w:r>
        <w:t xml:space="preserve">© 2025 Frankfurt Architectural Design Studio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Frankfurt, Germany</dc:title>
  <dc:creator/>
  <dc:language>en</dc:language>
  <cp:keywords/>
  <dcterms:created xsi:type="dcterms:W3CDTF">2026-10-10T02:30:12Z</dcterms:created>
  <dcterms:modified xsi:type="dcterms:W3CDTF">2026-10-10T02:30:12Z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