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Ghana</w:t>
      </w:r>
      <w:r>
        <w:t xml:space="preserve"> </w:t>
      </w:r>
      <w:r>
        <w:t xml:space="preserve">Accra</w:t>
      </w:r>
    </w:p>
    <w:p>
      <w:pPr>
        <w:pStyle w:val="FirstParagraph"/>
      </w:pPr>
      <w:r>
        <w:t xml:space="preserve">Quotation Estimate No: QE-ACC-2025-0472</w:t>
      </w:r>
      <w:r>
        <w:br/>
      </w:r>
      <w:r>
        <w:t xml:space="preserve">Date of Issue: 14 June 2025</w:t>
      </w:r>
      <w:r>
        <w:br/>
      </w:r>
      <w:r>
        <w:t xml:space="preserve">Valid Until: 14 July 2025</w:t>
      </w:r>
    </w:p>
    <w:bookmarkStart w:id="20" w:name="quotation-estimate"/>
    <w:p>
      <w:pPr>
        <w:pStyle w:val="Heading1"/>
      </w:pPr>
      <w:r>
        <w:t xml:space="preserve">QUOTATION ESTIMATE</w:t>
      </w:r>
    </w:p>
    <w:p>
      <w:pPr>
        <w:pStyle w:val="FirstParagraph"/>
      </w:pPr>
      <w:r>
        <w:t xml:space="preserve">Professional Architect Services — Ghana Accra</w:t>
      </w:r>
    </w:p>
    <w:bookmarkEnd w:id="20"/>
    <w:p>
      <w:pPr>
        <w:pStyle w:val="BodyText"/>
      </w:pPr>
      <w:r>
        <w:rPr>
          <w:bCs/>
          <w:b/>
        </w:rPr>
        <w:t xml:space="preserve">Prepared By:</w:t>
      </w:r>
      <w:r>
        <w:br/>
      </w:r>
      <w:r>
        <w:t xml:space="preserve">Kofi Mensah &amp; Associates Architects</w:t>
      </w:r>
      <w:r>
        <w:br/>
      </w:r>
      <w:r>
        <w:t xml:space="preserve">Suite 12, Accra Central Business District</w:t>
      </w:r>
      <w:r>
        <w:br/>
      </w:r>
      <w:r>
        <w:t xml:space="preserve">14 Independence Avenue, Accra, Ghana</w:t>
      </w:r>
      <w:r>
        <w:br/>
      </w:r>
      <w:r>
        <w:t xml:space="preserve">Tel: +233 (0) 302 555 0198</w:t>
      </w:r>
      <w:r>
        <w:br/>
      </w:r>
      <w:r>
        <w:t xml:space="preserve">Email: info@kofiarchitects.com.gh</w:t>
      </w:r>
      <w:r>
        <w:br/>
      </w:r>
      <w:r>
        <w:t xml:space="preserve">Registration No: GAA-2019-0034</w:t>
      </w:r>
    </w:p>
    <w:p>
      <w:pPr>
        <w:pStyle w:val="BodyText"/>
      </w:pPr>
      <w:r>
        <w:rPr>
          <w:bCs/>
          <w:b/>
        </w:rPr>
        <w:t xml:space="preserve">Prepared For:</w:t>
      </w:r>
      <w:r>
        <w:br/>
      </w:r>
      <w:r>
        <w:t xml:space="preserve">The Hon. Dr. Ama Serwaa Boateng</w:t>
      </w:r>
      <w:r>
        <w:br/>
      </w:r>
      <w:r>
        <w:t xml:space="preserve">Boateng Holdings Limited</w:t>
      </w:r>
      <w:r>
        <w:br/>
      </w:r>
      <w:r>
        <w:t xml:space="preserve">Plot 7, East Legon, Accra, Ghana</w:t>
      </w:r>
      <w:r>
        <w:br/>
      </w:r>
      <w:r>
        <w:t xml:space="preserve">Tel: +233 (0) 244 781 2236</w:t>
      </w:r>
      <w:r>
        <w:br/>
      </w:r>
      <w:r>
        <w:t xml:space="preserve">Email: a.boateng@boatengholdings.com</w:t>
      </w:r>
    </w:p>
    <w:bookmarkStart w:id="21" w:name="project-overview"/>
    <w:p>
      <w:pPr>
        <w:pStyle w:val="Heading2"/>
      </w:pPr>
      <w:r>
        <w:t xml:space="preserve">1. Project Overview</w:t>
      </w:r>
    </w:p>
    <w:p>
      <w:pPr>
        <w:pStyle w:val="FirstParagraph"/>
      </w:pPr>
      <w:r>
        <w:t xml:space="preserve">This Quotation Estimate is issued by Kofi Mensah &amp; Associates Architects, a registered and licensed Architect firm operating in Ghana Accra, in response to the client's request for comprehensive architectural design and consultancy services. The project in question is the design and development of a four-storey mixed-use commercial and residential building located at the corner of Oxford Street and Ring Road East, Accra, Ghana. The Architect team will be responsible for all phases of design, from initial concept development through to construction supervision, ensuring full compliance with the Building and Planning Regulations of the Greater Accra Regional Coordinating Council and the Ghana Building Code.</w:t>
      </w:r>
    </w:p>
    <w:bookmarkEnd w:id="21"/>
    <w:bookmarkStart w:id="22" w:name="scope-of-architect-services"/>
    <w:p>
      <w:pPr>
        <w:pStyle w:val="Heading2"/>
      </w:pPr>
      <w:r>
        <w:t xml:space="preserve">2. Scope of Architect Services</w:t>
      </w:r>
    </w:p>
    <w:p>
      <w:pPr>
        <w:pStyle w:val="FirstParagraph"/>
      </w:pPr>
      <w:r>
        <w:t xml:space="preserve">The following Quotation Estimate covers the full spectrum of Architect professional services to be delivered in Ghana Accra. The scope includes, but is not limited to, the following deliverables:</w:t>
      </w:r>
    </w:p>
    <w:p>
      <w:pPr>
        <w:numPr>
          <w:ilvl w:val="0"/>
          <w:numId w:val="1001"/>
        </w:numPr>
        <w:pStyle w:val="Compact"/>
      </w:pPr>
      <w:r>
        <w:rPr>
          <w:bCs/>
          <w:b/>
        </w:rPr>
        <w:t xml:space="preserve">Feasibility Study &amp; Site Analysis:</w:t>
      </w:r>
      <w:r>
        <w:t xml:space="preserve"> </w:t>
      </w:r>
      <w:r>
        <w:t xml:space="preserve">Comprehensive assessment of the 1,200 m² plot in Accra, including topographical survey review, soil condition evaluation, and zoning compliance verification with the Accra Metropolitan Assembly.</w:t>
      </w:r>
    </w:p>
    <w:p>
      <w:pPr>
        <w:numPr>
          <w:ilvl w:val="0"/>
          <w:numId w:val="1001"/>
        </w:numPr>
        <w:pStyle w:val="Compact"/>
      </w:pPr>
      <w:r>
        <w:rPr>
          <w:bCs/>
          <w:b/>
        </w:rPr>
        <w:t xml:space="preserve">Concept Design &amp; Schematic Design:</w:t>
      </w:r>
      <w:r>
        <w:t xml:space="preserve"> </w:t>
      </w:r>
      <w:r>
        <w:t xml:space="preserve">Development of three (3) distinct architectural concepts, presentation boards, and 3D visualisations for client review and approval.</w:t>
      </w:r>
    </w:p>
    <w:p>
      <w:pPr>
        <w:numPr>
          <w:ilvl w:val="0"/>
          <w:numId w:val="1001"/>
        </w:numPr>
        <w:pStyle w:val="Compact"/>
      </w:pPr>
      <w:r>
        <w:rPr>
          <w:bCs/>
          <w:b/>
        </w:rPr>
        <w:t xml:space="preserve">Design Development:</w:t>
      </w:r>
      <w:r>
        <w:t xml:space="preserve"> </w:t>
      </w:r>
      <w:r>
        <w:t xml:space="preserve">Detailed architectural drawings including floor plans, elevations, sections, and material specifications for all four storeys.</w:t>
      </w:r>
    </w:p>
    <w:p>
      <w:pPr>
        <w:numPr>
          <w:ilvl w:val="0"/>
          <w:numId w:val="1001"/>
        </w:numPr>
        <w:pStyle w:val="Compact"/>
      </w:pPr>
      <w:r>
        <w:rPr>
          <w:bCs/>
          <w:b/>
        </w:rPr>
        <w:t xml:space="preserve">Construction Documentation:</w:t>
      </w:r>
      <w:r>
        <w:t xml:space="preserve"> </w:t>
      </w:r>
      <w:r>
        <w:t xml:space="preserve">Full set of working drawings, structural coordination drawings, MEP coordination, and bill of quantities preparation.</w:t>
      </w:r>
    </w:p>
    <w:p>
      <w:pPr>
        <w:numPr>
          <w:ilvl w:val="0"/>
          <w:numId w:val="1001"/>
        </w:numPr>
        <w:pStyle w:val="Compact"/>
      </w:pPr>
      <w:r>
        <w:rPr>
          <w:bCs/>
          <w:b/>
        </w:rPr>
        <w:t xml:space="preserve">Permitting &amp; Regulatory Compliance:</w:t>
      </w:r>
      <w:r>
        <w:t xml:space="preserve"> </w:t>
      </w:r>
      <w:r>
        <w:t xml:space="preserve">Preparation and submission of all necessary building permits, planning approvals, and environmental impact assessments required by the Ghana Building and Planning Department in Accra.</w:t>
      </w:r>
    </w:p>
    <w:p>
      <w:pPr>
        <w:numPr>
          <w:ilvl w:val="0"/>
          <w:numId w:val="1001"/>
        </w:numPr>
        <w:pStyle w:val="Compact"/>
      </w:pPr>
      <w:r>
        <w:rPr>
          <w:bCs/>
          <w:b/>
        </w:rPr>
        <w:t xml:space="preserve">Tender Support:</w:t>
      </w:r>
      <w:r>
        <w:t xml:space="preserve"> </w:t>
      </w:r>
      <w:r>
        <w:t xml:space="preserve">Preparation of tender documents, evaluation of contractor bids, and recommendation of the most suitable construction firm.</w:t>
      </w:r>
    </w:p>
    <w:p>
      <w:pPr>
        <w:numPr>
          <w:ilvl w:val="0"/>
          <w:numId w:val="1001"/>
        </w:numPr>
        <w:pStyle w:val="Compact"/>
      </w:pPr>
      <w:r>
        <w:rPr>
          <w:bCs/>
          <w:b/>
        </w:rPr>
        <w:t xml:space="preserve">Construction Supervision:</w:t>
      </w:r>
      <w:r>
        <w:t xml:space="preserve"> </w:t>
      </w:r>
      <w:r>
        <w:t xml:space="preserve">On-site Architect supervision for a period of twenty-four (24) months, including weekly site inspections, progress reporting, and quality assurance.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Cost (GHS)</w:t>
            </w:r>
          </w:p>
        </w:tc>
      </w:tr>
      <w:tr>
        <w:tc>
          <w:tcPr/>
          <w:p>
            <w:pPr>
              <w:pStyle w:val="Compact"/>
              <w:jc w:val="left"/>
            </w:pPr>
            <w:r>
              <w:t xml:space="preserve">01</w:t>
            </w:r>
          </w:p>
        </w:tc>
        <w:tc>
          <w:tcPr/>
          <w:p>
            <w:pPr>
              <w:pStyle w:val="Compact"/>
              <w:jc w:val="left"/>
            </w:pPr>
            <w:r>
              <w:t xml:space="preserve">Feasibility Study, Site Analysis &amp; Zoning Compliance Review</w:t>
            </w:r>
          </w:p>
        </w:tc>
        <w:tc>
          <w:tcPr/>
          <w:p>
            <w:pPr>
              <w:pStyle w:val="Compact"/>
              <w:jc w:val="left"/>
            </w:pPr>
            <w:r>
              <w:t xml:space="preserve">3 weeks</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Concept Design, Schematic Design &amp; 3D Visualisation (3 options)</w:t>
            </w:r>
          </w:p>
        </w:tc>
        <w:tc>
          <w:tcPr/>
          <w:p>
            <w:pPr>
              <w:pStyle w:val="Compact"/>
              <w:jc w:val="left"/>
            </w:pPr>
            <w:r>
              <w:t xml:space="preserve">6 weeks</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Design Development &amp; Detailed Architectural Drawings</w:t>
            </w:r>
          </w:p>
        </w:tc>
        <w:tc>
          <w:tcPr/>
          <w:p>
            <w:pPr>
              <w:pStyle w:val="Compact"/>
              <w:jc w:val="left"/>
            </w:pPr>
            <w:r>
              <w:t xml:space="preserve">8 weeks</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Construction Documentation &amp; Bill of Quantities</w:t>
            </w:r>
          </w:p>
        </w:tc>
        <w:tc>
          <w:tcPr/>
          <w:p>
            <w:pPr>
              <w:pStyle w:val="Compact"/>
              <w:jc w:val="left"/>
            </w:pPr>
            <w:r>
              <w:t xml:space="preserve">6 weeks</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Permitting, Planning Approvals &amp; Regulatory Filings (Ghana Accra)</w:t>
            </w:r>
          </w:p>
        </w:tc>
        <w:tc>
          <w:tcPr/>
          <w:p>
            <w:pPr>
              <w:pStyle w:val="Compact"/>
              <w:jc w:val="left"/>
            </w:pPr>
            <w:r>
              <w:t xml:space="preserve">4 weeks</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Tender Document Preparation &amp; Contractor Evaluation</w:t>
            </w:r>
          </w:p>
        </w:tc>
        <w:tc>
          <w:tcPr/>
          <w:p>
            <w:pPr>
              <w:pStyle w:val="Compact"/>
              <w:jc w:val="left"/>
            </w:pPr>
            <w:r>
              <w:t xml:space="preserve">3 weeks</w:t>
            </w:r>
          </w:p>
        </w:tc>
        <w:tc>
          <w:tcPr/>
          <w:p>
            <w:pPr>
              <w:pStyle w:val="Compact"/>
              <w:jc w:val="left"/>
            </w:pPr>
            <w:r>
              <w:t xml:space="preserve">55,000.00</w:t>
            </w:r>
          </w:p>
        </w:tc>
      </w:tr>
      <w:tr>
        <w:tc>
          <w:tcPr/>
          <w:p>
            <w:pPr>
              <w:pStyle w:val="Compact"/>
              <w:jc w:val="left"/>
            </w:pPr>
            <w:r>
              <w:t xml:space="preserve">07</w:t>
            </w:r>
          </w:p>
        </w:tc>
        <w:tc>
          <w:tcPr/>
          <w:p>
            <w:pPr>
              <w:pStyle w:val="Compact"/>
              <w:jc w:val="left"/>
            </w:pPr>
            <w:r>
              <w:t xml:space="preserve">Construction Supervision &amp; Site Inspection (24 months)</w:t>
            </w:r>
          </w:p>
        </w:tc>
        <w:tc>
          <w:tcPr/>
          <w:p>
            <w:pPr>
              <w:pStyle w:val="Compact"/>
              <w:jc w:val="left"/>
            </w:pPr>
            <w:r>
              <w:t xml:space="preserve">24 months</w:t>
            </w:r>
          </w:p>
        </w:tc>
        <w:tc>
          <w:tcPr/>
          <w:p>
            <w:pPr>
              <w:pStyle w:val="Compact"/>
              <w:jc w:val="left"/>
            </w:pPr>
            <w:r>
              <w:t xml:space="preserve">480,000.00</w:t>
            </w:r>
          </w:p>
        </w:tc>
      </w:tr>
      <w:tr>
        <w:tc>
          <w:tcPr/>
          <w:p>
            <w:pPr>
              <w:pStyle w:val="Compact"/>
              <w:jc w:val="left"/>
            </w:pPr>
            <w:r>
              <w:t xml:space="preserve">08</w:t>
            </w:r>
          </w:p>
        </w:tc>
        <w:tc>
          <w:tcPr/>
          <w:p>
            <w:pPr>
              <w:pStyle w:val="Compact"/>
              <w:jc w:val="left"/>
            </w:pPr>
            <w:r>
              <w:t xml:space="preserve">Project Close-Out, As-Built Drawings &amp; Handover Documentation</w:t>
            </w:r>
          </w:p>
        </w:tc>
        <w:tc>
          <w:tcPr/>
          <w:p>
            <w:pPr>
              <w:pStyle w:val="Compact"/>
              <w:jc w:val="left"/>
            </w:pPr>
            <w:r>
              <w:t xml:space="preserve">4 weeks</w:t>
            </w:r>
          </w:p>
        </w:tc>
        <w:tc>
          <w:tcPr/>
          <w:p>
            <w:pPr>
              <w:pStyle w:val="Compact"/>
              <w:jc w:val="left"/>
            </w:pPr>
            <w:r>
              <w:t xml:space="preserve">40,000.00</w:t>
            </w:r>
          </w:p>
        </w:tc>
      </w:tr>
      <w:tr>
        <w:tc>
          <w:tcPr>
            <w:gridSpan w:val="3"/>
          </w:tcPr>
          <w:p>
            <w:pPr>
              <w:pStyle w:val="Compact"/>
              <w:jc w:val="left"/>
            </w:pPr>
            <w:r>
              <w:t xml:space="preserve">TOTAL QUOTATION ESTIMATE (GHS)</w:t>
            </w:r>
          </w:p>
        </w:tc>
        <w:tc>
          <w:tcPr/>
          <w:p>
            <w:pPr>
              <w:pStyle w:val="Compact"/>
              <w:jc w:val="left"/>
            </w:pPr>
            <w:r>
              <w:t xml:space="preserve">1,140,000.00</w:t>
            </w:r>
          </w:p>
        </w:tc>
      </w:tr>
    </w:tbl>
    <w:p>
      <w:pPr>
        <w:pStyle w:val="BodyText"/>
      </w:pPr>
      <w:r>
        <w:rPr>
          <w:bCs/>
          <w:b/>
        </w:rPr>
        <w:t xml:space="preserve">Note:</w:t>
      </w:r>
      <w:r>
        <w:t xml:space="preserve"> </w:t>
      </w:r>
      <w:r>
        <w:t xml:space="preserve">All costs stated in this Quotation Estimate are in Ghana Cedis (GHS) and are exclusive of Value Added Tax (VAT) at the prevailing rate of 15% as administered by the Ghana Revenue Authority. Any additional services requested by the client beyond the scope outlined above will be subject to a separate supplementary Quotation Estimate issued by the Architect firm.</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(GHS)</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228,000.00</w:t>
            </w:r>
          </w:p>
        </w:tc>
        <w:tc>
          <w:tcPr/>
          <w:p>
            <w:pPr>
              <w:pStyle w:val="Compact"/>
              <w:jc w:val="left"/>
            </w:pPr>
            <w:r>
              <w:t xml:space="preserve">Upon signing of the Architect Services Agreement</w:t>
            </w:r>
          </w:p>
        </w:tc>
      </w:tr>
      <w:tr>
        <w:tc>
          <w:tcPr/>
          <w:p>
            <w:pPr>
              <w:pStyle w:val="Compact"/>
              <w:jc w:val="left"/>
            </w:pPr>
            <w:r>
              <w:t xml:space="preserve">Concept Design Approval</w:t>
            </w:r>
          </w:p>
        </w:tc>
        <w:tc>
          <w:tcPr/>
          <w:p>
            <w:pPr>
              <w:pStyle w:val="Compact"/>
              <w:jc w:val="left"/>
            </w:pPr>
            <w:r>
              <w:t xml:space="preserve">15%</w:t>
            </w:r>
          </w:p>
        </w:tc>
        <w:tc>
          <w:tcPr/>
          <w:p>
            <w:pPr>
              <w:pStyle w:val="Compact"/>
              <w:jc w:val="left"/>
            </w:pPr>
            <w:r>
              <w:t xml:space="preserve">171,000.00</w:t>
            </w:r>
          </w:p>
        </w:tc>
        <w:tc>
          <w:tcPr/>
          <w:p>
            <w:pPr>
              <w:pStyle w:val="Compact"/>
              <w:jc w:val="left"/>
            </w:pPr>
            <w:r>
              <w:t xml:space="preserve">Client written approval of selected concept</w:t>
            </w:r>
          </w:p>
        </w:tc>
      </w:tr>
      <w:tr>
        <w:tc>
          <w:tcPr/>
          <w:p>
            <w:pPr>
              <w:pStyle w:val="Compact"/>
              <w:jc w:val="left"/>
            </w:pPr>
            <w:r>
              <w:t xml:space="preserve">Design Development Complete</w:t>
            </w:r>
          </w:p>
        </w:tc>
        <w:tc>
          <w:tcPr/>
          <w:p>
            <w:pPr>
              <w:pStyle w:val="Compact"/>
              <w:jc w:val="left"/>
            </w:pPr>
            <w:r>
              <w:t xml:space="preserve">20%</w:t>
            </w:r>
          </w:p>
        </w:tc>
        <w:tc>
          <w:tcPr/>
          <w:p>
            <w:pPr>
              <w:pStyle w:val="Compact"/>
              <w:jc w:val="left"/>
            </w:pPr>
            <w:r>
              <w:t xml:space="preserve">228,000.00</w:t>
            </w:r>
          </w:p>
        </w:tc>
        <w:tc>
          <w:tcPr/>
          <w:p>
            <w:pPr>
              <w:pStyle w:val="Compact"/>
              <w:jc w:val="left"/>
            </w:pPr>
            <w:r>
              <w:t xml:space="preserve">Submission of all design development drawings</w:t>
            </w:r>
          </w:p>
        </w:tc>
      </w:tr>
      <w:tr>
        <w:tc>
          <w:tcPr/>
          <w:p>
            <w:pPr>
              <w:pStyle w:val="Compact"/>
              <w:jc w:val="left"/>
            </w:pPr>
            <w:r>
              <w:t xml:space="preserve">Construction Docs &amp; Permits</w:t>
            </w:r>
          </w:p>
        </w:tc>
        <w:tc>
          <w:tcPr/>
          <w:p>
            <w:pPr>
              <w:pStyle w:val="Compact"/>
              <w:jc w:val="left"/>
            </w:pPr>
            <w:r>
              <w:t xml:space="preserve">20%</w:t>
            </w:r>
          </w:p>
        </w:tc>
        <w:tc>
          <w:tcPr/>
          <w:p>
            <w:pPr>
              <w:pStyle w:val="Compact"/>
              <w:jc w:val="left"/>
            </w:pPr>
            <w:r>
              <w:t xml:space="preserve">228,000.00</w:t>
            </w:r>
          </w:p>
        </w:tc>
        <w:tc>
          <w:tcPr/>
          <w:p>
            <w:pPr>
              <w:pStyle w:val="Compact"/>
              <w:jc w:val="left"/>
            </w:pPr>
            <w:r>
              <w:t xml:space="preserve">Issuance of building permit by Accra Metropolitan Assembly</w:t>
            </w:r>
          </w:p>
        </w:tc>
      </w:tr>
      <w:tr>
        <w:tc>
          <w:tcPr/>
          <w:p>
            <w:pPr>
              <w:pStyle w:val="Compact"/>
              <w:jc w:val="left"/>
            </w:pPr>
            <w:r>
              <w:t xml:space="preserve">Construction Supervision</w:t>
            </w:r>
          </w:p>
        </w:tc>
        <w:tc>
          <w:tcPr/>
          <w:p>
            <w:pPr>
              <w:pStyle w:val="Compact"/>
              <w:jc w:val="left"/>
            </w:pPr>
            <w:r>
              <w:t xml:space="preserve">15%</w:t>
            </w:r>
          </w:p>
        </w:tc>
        <w:tc>
          <w:tcPr/>
          <w:p>
            <w:pPr>
              <w:pStyle w:val="Compact"/>
              <w:jc w:val="left"/>
            </w:pPr>
            <w:r>
              <w:t xml:space="preserve">171,000.00</w:t>
            </w:r>
          </w:p>
        </w:tc>
        <w:tc>
          <w:tcPr/>
          <w:p>
            <w:pPr>
              <w:pStyle w:val="Compact"/>
              <w:jc w:val="left"/>
            </w:pPr>
            <w:r>
              <w:t xml:space="preserve">Monthly pro-rata payments over 24 months</w:t>
            </w:r>
          </w:p>
        </w:tc>
      </w:tr>
      <w:tr>
        <w:tc>
          <w:tcPr/>
          <w:p>
            <w:pPr>
              <w:pStyle w:val="Compact"/>
              <w:jc w:val="left"/>
            </w:pPr>
            <w:r>
              <w:t xml:space="preserve">Project Close-Out</w:t>
            </w:r>
          </w:p>
        </w:tc>
        <w:tc>
          <w:tcPr/>
          <w:p>
            <w:pPr>
              <w:pStyle w:val="Compact"/>
              <w:jc w:val="left"/>
            </w:pPr>
            <w:r>
              <w:t xml:space="preserve">10%</w:t>
            </w:r>
          </w:p>
        </w:tc>
        <w:tc>
          <w:tcPr/>
          <w:p>
            <w:pPr>
              <w:pStyle w:val="Compact"/>
              <w:jc w:val="left"/>
            </w:pPr>
            <w:r>
              <w:t xml:space="preserve">114,000.00</w:t>
            </w:r>
          </w:p>
        </w:tc>
        <w:tc>
          <w:tcPr/>
          <w:p>
            <w:pPr>
              <w:pStyle w:val="Compact"/>
              <w:jc w:val="left"/>
            </w:pPr>
            <w:r>
              <w:t xml:space="preserve">Final handover and as-built documentation</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Beyond this period, the Architect firm reserves the right to revise pricing due to market fluctuations in Ghana Accra.</w:t>
      </w:r>
    </w:p>
    <w:p>
      <w:pPr>
        <w:numPr>
          <w:ilvl w:val="0"/>
          <w:numId w:val="1002"/>
        </w:numPr>
        <w:pStyle w:val="Compact"/>
      </w:pPr>
      <w:r>
        <w:t xml:space="preserve">All Architect services shall be performed in accordance with the standards set by the Ghana Architects Registration Council (GARC) and the professional code of ethics governing the practice of architecture in Ghana.</w:t>
      </w:r>
    </w:p>
    <w:p>
      <w:pPr>
        <w:numPr>
          <w:ilvl w:val="0"/>
          <w:numId w:val="1002"/>
        </w:numPr>
        <w:pStyle w:val="Compact"/>
      </w:pPr>
      <w:r>
        <w:t xml:space="preserve">The client shall provide timely access to the project site in Accra and all necessary information required for the Architect to carry out the work. Delays caused by the client shall not be the responsibility of the Architect firm.</w:t>
      </w:r>
    </w:p>
    <w:p>
      <w:pPr>
        <w:numPr>
          <w:ilvl w:val="0"/>
          <w:numId w:val="1002"/>
        </w:numPr>
        <w:pStyle w:val="Compact"/>
      </w:pPr>
      <w:r>
        <w:t xml:space="preserve">Any variation or change order to the scope of work must be agreed upon in writing by both parties before execution. The Architect will issue an amended Quotation Estimate for any such variations.</w:t>
      </w:r>
    </w:p>
    <w:p>
      <w:pPr>
        <w:numPr>
          <w:ilvl w:val="0"/>
          <w:numId w:val="1002"/>
        </w:numPr>
        <w:pStyle w:val="Compact"/>
      </w:pPr>
      <w:r>
        <w:t xml:space="preserve">Intellectual property rights over all design documents, drawings, and 3D models produced by the Architect remain with Kofi Mensah &amp; Associates Architects until full payment of this Quotation Estimate has been received.</w:t>
      </w:r>
    </w:p>
    <w:p>
      <w:pPr>
        <w:numPr>
          <w:ilvl w:val="0"/>
          <w:numId w:val="1002"/>
        </w:numPr>
        <w:pStyle w:val="Compact"/>
      </w:pPr>
      <w:r>
        <w:t xml:space="preserve">Disputes arising from this Quotation Estimate shall be resolved through mediation in Ghana Accra, and failing that, through the courts of competent jurisdiction in the Republic of Ghana.</w:t>
      </w:r>
    </w:p>
    <w:p>
      <w:pPr>
        <w:numPr>
          <w:ilvl w:val="0"/>
          <w:numId w:val="1002"/>
        </w:numPr>
        <w:pStyle w:val="Compact"/>
      </w:pPr>
      <w:r>
        <w:t xml:space="preserve">The Architect firm shall maintain professional indemnity insurance with a minimum cover of GHS 5,000,000 throughout the duration of the project.</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and agrees to the terms, conditions, and scope of Architect services as outlined herein for the project located in Ghana Accra.</w:t>
      </w:r>
    </w:p>
    <w:p>
      <w:pPr>
        <w:pStyle w:val="BodyText"/>
      </w:pPr>
      <w:r>
        <w:rPr>
          <w:bCs/>
          <w:b/>
        </w:rPr>
        <w:t xml:space="preserve">For and on behalf of:</w:t>
      </w:r>
      <w:r>
        <w:br/>
      </w:r>
      <w:r>
        <w:t xml:space="preserve">Kofi Mensah &amp; Associates Architects</w:t>
      </w:r>
    </w:p>
    <w:p>
      <w:pPr>
        <w:pStyle w:val="BodyText"/>
      </w:pPr>
      <w:r>
        <w:t xml:space="preserve">Kofi Mensah, M.Arch, RIBA</w:t>
      </w:r>
      <w:r>
        <w:br/>
      </w:r>
      <w:r>
        <w:t xml:space="preserve">Principal Architect</w:t>
      </w:r>
      <w:r>
        <w:br/>
      </w:r>
      <w:r>
        <w:t xml:space="preserve">GARC Reg. No: GA-2019-0034</w:t>
      </w:r>
    </w:p>
    <w:p>
      <w:pPr>
        <w:pStyle w:val="BodyText"/>
      </w:pPr>
      <w:r>
        <w:rPr>
          <w:bCs/>
          <w:b/>
        </w:rPr>
        <w:t xml:space="preserve">For and on behalf of:</w:t>
      </w:r>
      <w:r>
        <w:br/>
      </w:r>
      <w:r>
        <w:t xml:space="preserve">Boateng Holdings Limited</w:t>
      </w:r>
    </w:p>
    <w:p>
      <w:pPr>
        <w:pStyle w:val="BodyText"/>
      </w:pPr>
      <w:r>
        <w:t xml:space="preserve">Dr. Ama Serwaa Boateng</w:t>
      </w:r>
      <w:r>
        <w:br/>
      </w:r>
      <w:r>
        <w:t xml:space="preserve">Managing Director</w:t>
      </w:r>
      <w:r>
        <w:br/>
      </w:r>
      <w:r>
        <w:t xml:space="preserve">Date: _______________</w:t>
      </w:r>
    </w:p>
    <w:p>
      <w:pPr>
        <w:pStyle w:val="BodyText"/>
      </w:pPr>
      <w:r>
        <w:t xml:space="preserve">— End of Quotation Estimate QE-ACC-2025-0472 —</w:t>
      </w:r>
      <w:r>
        <w:br/>
      </w:r>
      <w:r>
        <w:t xml:space="preserve">This document is the property of Kofi Mensah &amp; Associates Architects, Ghana Accra. Unauthorised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Ghana Accra</dc:title>
  <dc:creator/>
  <dc:language>en</dc:language>
  <cp:keywords/>
  <dcterms:created xsi:type="dcterms:W3CDTF">2026-10-10T03:31:48Z</dcterms:created>
  <dcterms:modified xsi:type="dcterms:W3CDTF">2026-10-10T03:31:48Z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