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quotation-estimate"/>
    <w:p>
      <w:pPr>
        <w:pStyle w:val="Heading1"/>
      </w:pPr>
      <w:r>
        <w:t xml:space="preserve">QUOTATION ESTIMATE</w:t>
      </w:r>
    </w:p>
    <w:p>
      <w:pPr>
        <w:pStyle w:val="FirstParagraph"/>
      </w:pPr>
      <w:r>
        <w:rPr>
          <w:bCs/>
          <w:b/>
        </w:rPr>
        <w:t xml:space="preserve">Architectural Design &amp; Consulting Services</w:t>
      </w:r>
    </w:p>
    <w:p>
      <w:pPr>
        <w:pStyle w:val="BodyText"/>
      </w:pPr>
      <w:r>
        <w:t xml:space="preserve">Tehran, Iran</w:t>
      </w:r>
    </w:p>
    <w:p>
      <w:pPr>
        <w:pStyle w:val="BodyText"/>
      </w:pPr>
      <w:r>
        <w:t xml:space="preserve">Quotation Reference No: QTE-TEH-2025-0472</w:t>
      </w:r>
    </w:p>
    <w:p>
      <w:pPr>
        <w:pStyle w:val="BodyText"/>
      </w:pPr>
      <w:r>
        <w:t xml:space="preserve">Date of Issue: 15 June 2025</w:t>
      </w:r>
    </w:p>
    <w:p>
      <w:pPr>
        <w:pStyle w:val="BodyText"/>
      </w:pPr>
      <w:r>
        <w:t xml:space="preserve">Validity Period: 30 Calendar Days from Date of Issue</w:t>
      </w:r>
    </w:p>
    <w:bookmarkEnd w:id="20"/>
    <w:bookmarkStart w:id="21" w:name="prepared-by-architect-firm"/>
    <w:p>
      <w:pPr>
        <w:pStyle w:val="Heading3"/>
      </w:pPr>
      <w:r>
        <w:t xml:space="preserve">Prepared By (Architect Firm)</w:t>
      </w:r>
    </w:p>
    <w:p>
      <w:pPr>
        <w:pStyle w:val="FirstParagraph"/>
      </w:pPr>
      <w:r>
        <w:rPr>
          <w:bCs/>
          <w:b/>
        </w:rPr>
        <w:t xml:space="preserve">Firm Name:</w:t>
      </w:r>
      <w:r>
        <w:t xml:space="preserve"> </w:t>
      </w:r>
      <w:r>
        <w:t xml:space="preserve">Tehran Modern Architecture Studio (TMAS)</w:t>
      </w:r>
    </w:p>
    <w:p>
      <w:pPr>
        <w:pStyle w:val="BodyText"/>
      </w:pPr>
      <w:r>
        <w:rPr>
          <w:bCs/>
          <w:b/>
        </w:rPr>
        <w:t xml:space="preserve">Address:</w:t>
      </w:r>
      <w:r>
        <w:t xml:space="preserve"> </w:t>
      </w:r>
      <w:r>
        <w:t xml:space="preserve">No. 42, Vali-e-Asr Street, 17th Floor, Tehran, Iran</w:t>
      </w:r>
    </w:p>
    <w:p>
      <w:pPr>
        <w:pStyle w:val="BodyText"/>
      </w:pPr>
      <w:r>
        <w:rPr>
          <w:bCs/>
          <w:b/>
        </w:rPr>
        <w:t xml:space="preserve">License No:</w:t>
      </w:r>
      <w:r>
        <w:t xml:space="preserve"> </w:t>
      </w:r>
      <w:r>
        <w:t xml:space="preserve">IR-ARCH-2019-08847 (Issued by Tehran Chamber of Architects)</w:t>
      </w:r>
    </w:p>
    <w:p>
      <w:pPr>
        <w:pStyle w:val="BodyText"/>
      </w:pPr>
      <w:r>
        <w:rPr>
          <w:bCs/>
          <w:b/>
        </w:rPr>
        <w:t xml:space="preserve">Lead Architect:</w:t>
      </w:r>
      <w:r>
        <w:t xml:space="preserve"> </w:t>
      </w:r>
      <w:r>
        <w:t xml:space="preserve">Mr. Amir Hossein Karimi, M.Arch, IAI</w:t>
      </w:r>
    </w:p>
    <w:p>
      <w:pPr>
        <w:pStyle w:val="BodyText"/>
      </w:pPr>
      <w:r>
        <w:rPr>
          <w:bCs/>
          <w:b/>
        </w:rPr>
        <w:t xml:space="preserve">Phone:</w:t>
      </w:r>
      <w:r>
        <w:t xml:space="preserve"> </w:t>
      </w:r>
      <w:r>
        <w:t xml:space="preserve">+98 21 8876 5432</w:t>
      </w:r>
    </w:p>
    <w:p>
      <w:pPr>
        <w:pStyle w:val="BodyText"/>
      </w:pPr>
      <w:r>
        <w:rPr>
          <w:bCs/>
          <w:b/>
        </w:rPr>
        <w:t xml:space="preserve">Email:</w:t>
      </w:r>
      <w:r>
        <w:t xml:space="preserve"> </w:t>
      </w:r>
      <w:r>
        <w:t xml:space="preserve">estimates@tmas-arch.ir</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[Client Full Name / Company Name]</w:t>
      </w:r>
    </w:p>
    <w:p>
      <w:pPr>
        <w:pStyle w:val="BodyText"/>
      </w:pPr>
      <w:r>
        <w:rPr>
          <w:bCs/>
          <w:b/>
        </w:rPr>
        <w:t xml:space="preserve">Address:</w:t>
      </w:r>
      <w:r>
        <w:t xml:space="preserve"> </w:t>
      </w:r>
      <w:r>
        <w:t xml:space="preserve">[Client Address], Tehran, Iran</w:t>
      </w:r>
    </w:p>
    <w:p>
      <w:pPr>
        <w:pStyle w:val="BodyText"/>
      </w:pPr>
      <w:r>
        <w:rPr>
          <w:bCs/>
          <w:b/>
        </w:rPr>
        <w:t xml:space="preserve">National ID / Commercial Reg. No:</w:t>
      </w:r>
      <w:r>
        <w:t xml:space="preserve"> </w:t>
      </w:r>
      <w:r>
        <w:t xml:space="preserve">[To be filled]</w:t>
      </w:r>
    </w:p>
    <w:p>
      <w:pPr>
        <w:pStyle w:val="BodyText"/>
      </w:pPr>
      <w:r>
        <w:rPr>
          <w:bCs/>
          <w:b/>
        </w:rPr>
        <w:t xml:space="preserve">Contact Person:</w:t>
      </w:r>
      <w:r>
        <w:t xml:space="preserve"> </w:t>
      </w:r>
      <w:r>
        <w:t xml:space="preserve">[Name]</w:t>
      </w:r>
    </w:p>
    <w:p>
      <w:pPr>
        <w:pStyle w:val="BodyText"/>
      </w:pPr>
      <w:r>
        <w:rPr>
          <w:bCs/>
          <w:b/>
        </w:rPr>
        <w:t xml:space="preserve">Phone:</w:t>
      </w:r>
      <w:r>
        <w:t xml:space="preserve"> </w:t>
      </w:r>
      <w:r>
        <w:t xml:space="preserve">[Phone Number]</w:t>
      </w:r>
    </w:p>
    <w:p>
      <w:pPr>
        <w:pStyle w:val="BodyText"/>
      </w:pPr>
      <w:r>
        <w:rPr>
          <w:bCs/>
          <w:b/>
        </w:rPr>
        <w:t xml:space="preserve">Email:</w:t>
      </w:r>
      <w:r>
        <w:t xml:space="preserve"> </w:t>
      </w:r>
      <w:r>
        <w:t xml:space="preserve">[Email Address]</w:t>
      </w:r>
    </w:p>
    <w:bookmarkEnd w:id="22"/>
    <w:p>
      <w:pPr>
        <w:pStyle w:val="BodyText"/>
      </w:pPr>
      <w:r>
        <w:t xml:space="preserve">1. Project Overview &amp; Scope of Architectural Services</w:t>
      </w:r>
    </w:p>
    <w:p>
      <w:pPr>
        <w:pStyle w:val="BodyText"/>
      </w:pPr>
      <w:r>
        <w:t xml:space="preserve">This Quotation Estimate is issued by Tehran Modern Architecture Studio (TMAS) to provide a comprehensive breakdown of professional Architect fees and associated costs for the design, planning, and supervision of the project described below. All architectural services referenced in this Quotation Estimate shall be performed in accordance with the building codes, zoning regulations, and urban planning guidelines established by the Tehran Municipality and the Ministry of Roads and Urban Development of the Islamic Republic of Iran.</w:t>
      </w:r>
    </w:p>
    <w:p>
      <w:pPr>
        <w:pStyle w:val="BodyText"/>
      </w:pPr>
      <w:r>
        <w:rPr>
          <w:bCs/>
          <w:b/>
        </w:rPr>
        <w:t xml:space="preserve">Project Title:</w:t>
      </w:r>
      <w:r>
        <w:t xml:space="preserve"> </w:t>
      </w:r>
      <w:r>
        <w:t xml:space="preserve">Residential &amp; Commercial Mixed-Use Building – 12 Floors</w:t>
      </w:r>
    </w:p>
    <w:p>
      <w:pPr>
        <w:pStyle w:val="BodyText"/>
      </w:pPr>
      <w:r>
        <w:rPr>
          <w:bCs/>
          <w:b/>
        </w:rPr>
        <w:t xml:space="preserve">Project Location:</w:t>
      </w:r>
      <w:r>
        <w:t xml:space="preserve"> </w:t>
      </w:r>
      <w:r>
        <w:t xml:space="preserve">[Specific District/Neighborhood], Tehran, Iran</w:t>
      </w:r>
    </w:p>
    <w:p>
      <w:pPr>
        <w:pStyle w:val="BodyText"/>
      </w:pPr>
      <w:r>
        <w:rPr>
          <w:bCs/>
          <w:b/>
        </w:rPr>
        <w:t xml:space="preserve">Site Area:</w:t>
      </w:r>
      <w:r>
        <w:t xml:space="preserve"> </w:t>
      </w:r>
      <w:r>
        <w:t xml:space="preserve">2,400 square meters</w:t>
      </w:r>
    </w:p>
    <w:p>
      <w:pPr>
        <w:pStyle w:val="BodyText"/>
      </w:pPr>
      <w:r>
        <w:rPr>
          <w:bCs/>
          <w:b/>
        </w:rPr>
        <w:t xml:space="preserve">Total Built-Up Area:</w:t>
      </w:r>
      <w:r>
        <w:t xml:space="preserve"> </w:t>
      </w:r>
      <w:r>
        <w:t xml:space="preserve">Approximately 18,500 square meters</w:t>
      </w:r>
    </w:p>
    <w:p>
      <w:pPr>
        <w:pStyle w:val="BodyText"/>
      </w:pPr>
      <w:r>
        <w:rPr>
          <w:bCs/>
          <w:b/>
        </w:rPr>
        <w:t xml:space="preserve">Intended Use:</w:t>
      </w:r>
      <w:r>
        <w:t xml:space="preserve"> </w:t>
      </w:r>
      <w:r>
        <w:t xml:space="preserve">Residential apartments (floors 3–12) and commercial retail spaces (floors 1–2)</w:t>
      </w:r>
    </w:p>
    <w:p>
      <w:pPr>
        <w:pStyle w:val="BodyText"/>
      </w:pPr>
      <w:r>
        <w:t xml:space="preserve">2. Itemized Quotation Estimate – Architect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Feasibility Study &amp; Site Analysis (Tehran zoning compliance, soil assessment coordination, solar orientation study)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Conceptual Design &amp; Architectural Massing (3D modeling, preliminary floor plans, elevation studies)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220,000,000</w:t>
            </w:r>
          </w:p>
        </w:tc>
        <w:tc>
          <w:tcPr/>
          <w:p>
            <w:pPr>
              <w:pStyle w:val="Compact"/>
              <w:jc w:val="left"/>
            </w:pPr>
            <w:r>
              <w:t xml:space="preserve">220,000,000</w:t>
            </w:r>
          </w:p>
        </w:tc>
      </w:tr>
      <w:tr>
        <w:tc>
          <w:tcPr/>
          <w:p>
            <w:pPr>
              <w:pStyle w:val="Compact"/>
              <w:jc w:val="left"/>
            </w:pPr>
            <w:r>
              <w:t xml:space="preserve">3</w:t>
            </w:r>
          </w:p>
        </w:tc>
        <w:tc>
          <w:tcPr/>
          <w:p>
            <w:pPr>
              <w:pStyle w:val="Compact"/>
              <w:jc w:val="left"/>
            </w:pPr>
            <w:r>
              <w:t xml:space="preserve">Schematic Design Development (Detailed floor plans, structural coordination, MEP preliminary layout)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310,000,000</w:t>
            </w:r>
          </w:p>
        </w:tc>
        <w:tc>
          <w:tcPr/>
          <w:p>
            <w:pPr>
              <w:pStyle w:val="Compact"/>
              <w:jc w:val="left"/>
            </w:pPr>
            <w:r>
              <w:t xml:space="preserve">310,000,000</w:t>
            </w:r>
          </w:p>
        </w:tc>
      </w:tr>
      <w:tr>
        <w:tc>
          <w:tcPr/>
          <w:p>
            <w:pPr>
              <w:pStyle w:val="Compact"/>
              <w:jc w:val="left"/>
            </w:pPr>
            <w:r>
              <w:t xml:space="preserve">4</w:t>
            </w:r>
          </w:p>
        </w:tc>
        <w:tc>
          <w:tcPr/>
          <w:p>
            <w:pPr>
              <w:pStyle w:val="Compact"/>
              <w:jc w:val="left"/>
            </w:pPr>
            <w:r>
              <w:t xml:space="preserve">Design Development &amp; Construction Documentation (Full architectural drawings, specifications, material schedules)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480,000,000</w:t>
            </w:r>
          </w:p>
        </w:tc>
        <w:tc>
          <w:tcPr/>
          <w:p>
            <w:pPr>
              <w:pStyle w:val="Compact"/>
              <w:jc w:val="left"/>
            </w:pPr>
            <w:r>
              <w:t xml:space="preserve">480,000,000</w:t>
            </w:r>
          </w:p>
        </w:tc>
      </w:tr>
      <w:tr>
        <w:tc>
          <w:tcPr/>
          <w:p>
            <w:pPr>
              <w:pStyle w:val="Compact"/>
              <w:jc w:val="left"/>
            </w:pPr>
            <w:r>
              <w:t xml:space="preserve">5</w:t>
            </w:r>
          </w:p>
        </w:tc>
        <w:tc>
          <w:tcPr/>
          <w:p>
            <w:pPr>
              <w:pStyle w:val="Compact"/>
              <w:jc w:val="left"/>
            </w:pPr>
            <w:r>
              <w:t xml:space="preserve">Permit Application Support &amp; Tehran Municipality Coordination (Document preparation, plan review follow-up, revision cycles)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6</w:t>
            </w:r>
          </w:p>
        </w:tc>
        <w:tc>
          <w:tcPr/>
          <w:p>
            <w:pPr>
              <w:pStyle w:val="Compact"/>
              <w:jc w:val="left"/>
            </w:pPr>
            <w:r>
              <w:t xml:space="preserve">Construction Supervision &amp; Site Visits (Weekly site inspections, quality control, progress reporting – 18 months)</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95,000,000</w:t>
            </w:r>
          </w:p>
        </w:tc>
        <w:tc>
          <w:tcPr/>
          <w:p>
            <w:pPr>
              <w:pStyle w:val="Compact"/>
              <w:jc w:val="left"/>
            </w:pPr>
            <w:r>
              <w:t xml:space="preserve">1,710,000,000</w:t>
            </w:r>
          </w:p>
        </w:tc>
      </w:tr>
      <w:tr>
        <w:tc>
          <w:tcPr/>
          <w:p>
            <w:pPr>
              <w:pStyle w:val="Compact"/>
              <w:jc w:val="left"/>
            </w:pPr>
            <w:r>
              <w:t xml:space="preserve">7</w:t>
            </w:r>
          </w:p>
        </w:tc>
        <w:tc>
          <w:tcPr/>
          <w:p>
            <w:pPr>
              <w:pStyle w:val="Compact"/>
              <w:jc w:val="left"/>
            </w:pPr>
            <w:r>
              <w:t xml:space="preserve">Interior Design Consultation (Common areas, lobby, commercial ground floor)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175,000,000</w:t>
            </w:r>
          </w:p>
        </w:tc>
        <w:tc>
          <w:tcPr/>
          <w:p>
            <w:pPr>
              <w:pStyle w:val="Compact"/>
              <w:jc w:val="left"/>
            </w:pPr>
            <w:r>
              <w:t xml:space="preserve">175,000,000</w:t>
            </w:r>
          </w:p>
        </w:tc>
      </w:tr>
      <w:tr>
        <w:tc>
          <w:tcPr/>
          <w:p>
            <w:pPr>
              <w:pStyle w:val="Compact"/>
              <w:jc w:val="left"/>
            </w:pPr>
            <w:r>
              <w:t xml:space="preserve">8</w:t>
            </w:r>
          </w:p>
        </w:tc>
        <w:tc>
          <w:tcPr/>
          <w:p>
            <w:pPr>
              <w:pStyle w:val="Compact"/>
              <w:jc w:val="left"/>
            </w:pPr>
            <w:r>
              <w:t xml:space="preserve">Landscape &amp; Exterior Hardscape Design (Tehran climate-adapted greenery, parking layout, pedestrian pathways)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9</w:t>
            </w:r>
          </w:p>
        </w:tc>
        <w:tc>
          <w:tcPr/>
          <w:p>
            <w:pPr>
              <w:pStyle w:val="Compact"/>
              <w:jc w:val="left"/>
            </w:pPr>
            <w:r>
              <w:t xml:space="preserve">As-Built Documentation &amp; Final Handover Package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65,000,000</w:t>
            </w:r>
          </w:p>
        </w:tc>
        <w:tc>
          <w:tcPr/>
          <w:p>
            <w:pPr>
              <w:pStyle w:val="Compact"/>
              <w:jc w:val="left"/>
            </w:pPr>
            <w:r>
              <w:t xml:space="preserve">65,000,000</w:t>
            </w:r>
          </w:p>
        </w:tc>
      </w:tr>
      <w:tr>
        <w:tc>
          <w:tcPr>
            <w:gridSpan w:val="5"/>
          </w:tcPr>
          <w:p>
            <w:pPr>
              <w:pStyle w:val="Compact"/>
              <w:jc w:val="left"/>
            </w:pPr>
            <w:r>
              <w:t xml:space="preserve">Subtotal (Architect Professional Fees)</w:t>
            </w:r>
          </w:p>
        </w:tc>
        <w:tc>
          <w:tcPr/>
          <w:p>
            <w:pPr>
              <w:pStyle w:val="Compact"/>
              <w:jc w:val="left"/>
            </w:pPr>
            <w:r>
              <w:t xml:space="preserve">3,315,000,000</w:t>
            </w:r>
          </w:p>
        </w:tc>
      </w:tr>
      <w:tr>
        <w:tc>
          <w:tcPr>
            <w:gridSpan w:val="5"/>
          </w:tcPr>
          <w:p>
            <w:pPr>
              <w:pStyle w:val="Compact"/>
              <w:jc w:val="left"/>
            </w:pPr>
            <w:r>
              <w:t xml:space="preserve">VAT (9% – Islamic Republic of Iran Standard Rate)</w:t>
            </w:r>
          </w:p>
        </w:tc>
        <w:tc>
          <w:tcPr/>
          <w:p>
            <w:pPr>
              <w:pStyle w:val="Compact"/>
              <w:jc w:val="left"/>
            </w:pPr>
            <w:r>
              <w:t xml:space="preserve">298,350,000</w:t>
            </w:r>
          </w:p>
        </w:tc>
      </w:tr>
      <w:tr>
        <w:tc>
          <w:tcPr>
            <w:gridSpan w:val="5"/>
          </w:tcPr>
          <w:p>
            <w:pPr>
              <w:pStyle w:val="Compact"/>
              <w:jc w:val="left"/>
            </w:pPr>
            <w:r>
              <w:t xml:space="preserve">GRAND TOTAL (Quotation Estimate Amount)</w:t>
            </w:r>
          </w:p>
        </w:tc>
        <w:tc>
          <w:tcPr/>
          <w:p>
            <w:pPr>
              <w:pStyle w:val="Compact"/>
              <w:jc w:val="left"/>
            </w:pPr>
            <w:r>
              <w:t xml:space="preserve">3,613,350,000 IRR</w:t>
            </w:r>
          </w:p>
        </w:tc>
      </w:tr>
    </w:tbl>
    <w:p>
      <w:pPr>
        <w:pStyle w:val="BodyText"/>
      </w:pPr>
      <w:r>
        <w:rPr>
          <w:iCs/>
          <w:i/>
        </w:rPr>
        <w:t xml:space="preserve">All prices are quoted in Iranian Rials (IRR) and are inclusive of the Architect's professional liability insurance as mandated by the Tehran Chamber of Architects.</w:t>
      </w:r>
    </w:p>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(IRR)</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722,670,000</w:t>
            </w:r>
          </w:p>
        </w:tc>
        <w:tc>
          <w:tcPr/>
          <w:p>
            <w:pPr>
              <w:pStyle w:val="Compact"/>
              <w:jc w:val="left"/>
            </w:pPr>
            <w:r>
              <w:t xml:space="preserve">Upon signing of the Architect Service Agreement</w:t>
            </w:r>
          </w:p>
        </w:tc>
      </w:tr>
      <w:tr>
        <w:tc>
          <w:tcPr/>
          <w:p>
            <w:pPr>
              <w:pStyle w:val="Compact"/>
              <w:jc w:val="left"/>
            </w:pPr>
            <w:r>
              <w:t xml:space="preserve">Conceptual Design Approval</w:t>
            </w:r>
          </w:p>
        </w:tc>
        <w:tc>
          <w:tcPr/>
          <w:p>
            <w:pPr>
              <w:pStyle w:val="Compact"/>
              <w:jc w:val="left"/>
            </w:pPr>
            <w:r>
              <w:t xml:space="preserve">15%</w:t>
            </w:r>
          </w:p>
        </w:tc>
        <w:tc>
          <w:tcPr/>
          <w:p>
            <w:pPr>
              <w:pStyle w:val="Compact"/>
              <w:jc w:val="left"/>
            </w:pPr>
            <w:r>
              <w:t xml:space="preserve">542,002,500</w:t>
            </w:r>
          </w:p>
        </w:tc>
        <w:tc>
          <w:tcPr/>
          <w:p>
            <w:pPr>
              <w:pStyle w:val="Compact"/>
              <w:jc w:val="left"/>
            </w:pPr>
            <w:r>
              <w:t xml:space="preserve">Client written approval of Concept Design</w:t>
            </w:r>
          </w:p>
        </w:tc>
      </w:tr>
      <w:tr>
        <w:tc>
          <w:tcPr/>
          <w:p>
            <w:pPr>
              <w:pStyle w:val="Compact"/>
              <w:jc w:val="left"/>
            </w:pPr>
            <w:r>
              <w:t xml:space="preserve">Schematic Design Approval</w:t>
            </w:r>
          </w:p>
        </w:tc>
        <w:tc>
          <w:tcPr/>
          <w:p>
            <w:pPr>
              <w:pStyle w:val="Compact"/>
              <w:jc w:val="left"/>
            </w:pPr>
            <w:r>
              <w:t xml:space="preserve">15%</w:t>
            </w:r>
          </w:p>
        </w:tc>
        <w:tc>
          <w:tcPr/>
          <w:p>
            <w:pPr>
              <w:pStyle w:val="Compact"/>
              <w:jc w:val="left"/>
            </w:pPr>
            <w:r>
              <w:t xml:space="preserve">542,002,500</w:t>
            </w:r>
          </w:p>
        </w:tc>
        <w:tc>
          <w:tcPr/>
          <w:p>
            <w:pPr>
              <w:pStyle w:val="Compact"/>
              <w:jc w:val="left"/>
            </w:pPr>
            <w:r>
              <w:t xml:space="preserve">Client written approval of Schematic Design</w:t>
            </w:r>
          </w:p>
        </w:tc>
      </w:tr>
      <w:tr>
        <w:tc>
          <w:tcPr/>
          <w:p>
            <w:pPr>
              <w:pStyle w:val="Compact"/>
              <w:jc w:val="left"/>
            </w:pPr>
            <w:r>
              <w:t xml:space="preserve">Construction Documents Delivery</w:t>
            </w:r>
          </w:p>
        </w:tc>
        <w:tc>
          <w:tcPr/>
          <w:p>
            <w:pPr>
              <w:pStyle w:val="Compact"/>
              <w:jc w:val="left"/>
            </w:pPr>
            <w:r>
              <w:t xml:space="preserve">20%</w:t>
            </w:r>
          </w:p>
        </w:tc>
        <w:tc>
          <w:tcPr/>
          <w:p>
            <w:pPr>
              <w:pStyle w:val="Compact"/>
              <w:jc w:val="left"/>
            </w:pPr>
            <w:r>
              <w:t xml:space="preserve">722,670,000</w:t>
            </w:r>
          </w:p>
        </w:tc>
        <w:tc>
          <w:tcPr/>
          <w:p>
            <w:pPr>
              <w:pStyle w:val="Compact"/>
              <w:jc w:val="left"/>
            </w:pPr>
            <w:r>
              <w:t xml:space="preserve">Submission of full drawing set</w:t>
            </w:r>
          </w:p>
        </w:tc>
      </w:tr>
      <w:tr>
        <w:tc>
          <w:tcPr/>
          <w:p>
            <w:pPr>
              <w:pStyle w:val="Compact"/>
              <w:jc w:val="left"/>
            </w:pPr>
            <w:r>
              <w:t xml:space="preserve">Construction Supervision (Monthly)</w:t>
            </w:r>
          </w:p>
        </w:tc>
        <w:tc>
          <w:tcPr/>
          <w:p>
            <w:pPr>
              <w:pStyle w:val="Compact"/>
              <w:jc w:val="left"/>
            </w:pPr>
            <w:r>
              <w:t xml:space="preserve">25%</w:t>
            </w:r>
          </w:p>
        </w:tc>
        <w:tc>
          <w:tcPr/>
          <w:p>
            <w:pPr>
              <w:pStyle w:val="Compact"/>
              <w:jc w:val="left"/>
            </w:pPr>
            <w:r>
              <w:t xml:space="preserve">903,337,500</w:t>
            </w:r>
          </w:p>
        </w:tc>
        <w:tc>
          <w:tcPr/>
          <w:p>
            <w:pPr>
              <w:pStyle w:val="Compact"/>
              <w:jc w:val="left"/>
            </w:pPr>
            <w:r>
              <w:t xml:space="preserve">18 equal monthly installments during construction</w:t>
            </w:r>
          </w:p>
        </w:tc>
      </w:tr>
      <w:tr>
        <w:tc>
          <w:tcPr/>
          <w:p>
            <w:pPr>
              <w:pStyle w:val="Compact"/>
              <w:jc w:val="left"/>
            </w:pPr>
            <w:r>
              <w:t xml:space="preserve">Final Handover</w:t>
            </w:r>
          </w:p>
        </w:tc>
        <w:tc>
          <w:tcPr/>
          <w:p>
            <w:pPr>
              <w:pStyle w:val="Compact"/>
              <w:jc w:val="left"/>
            </w:pPr>
            <w:r>
              <w:t xml:space="preserve">5%</w:t>
            </w:r>
          </w:p>
        </w:tc>
        <w:tc>
          <w:tcPr/>
          <w:p>
            <w:pPr>
              <w:pStyle w:val="Compact"/>
              <w:jc w:val="left"/>
            </w:pPr>
            <w:r>
              <w:t xml:space="preserve">180,667,500</w:t>
            </w:r>
          </w:p>
        </w:tc>
        <w:tc>
          <w:tcPr/>
          <w:p>
            <w:pPr>
              <w:pStyle w:val="Compact"/>
              <w:jc w:val="left"/>
            </w:pPr>
            <w:r>
              <w:t xml:space="preserve">Delivery of As-Built package</w:t>
            </w:r>
          </w:p>
        </w:tc>
      </w:tr>
    </w:tbl>
    <w:p>
      <w:pPr>
        <w:pStyle w:val="BodyText"/>
      </w:pPr>
      <w:r>
        <w:t xml:space="preserve">4. Terms &amp; Conditions of This Quotation Estimate</w:t>
      </w:r>
    </w:p>
    <w:p>
      <w:pPr>
        <w:numPr>
          <w:ilvl w:val="0"/>
          <w:numId w:val="1001"/>
        </w:numPr>
        <w:pStyle w:val="Compact"/>
      </w:pPr>
      <w:r>
        <w:t xml:space="preserve">This Quotation Estimate is valid for a period of thirty (30) calendar days from the date of issue. Beyond this period, the Architect reserves the right to revise pricing due to market fluctuations in Tehran's construction sector.</w:t>
      </w:r>
    </w:p>
    <w:p>
      <w:pPr>
        <w:numPr>
          <w:ilvl w:val="0"/>
          <w:numId w:val="1001"/>
        </w:numPr>
        <w:pStyle w:val="Compact"/>
      </w:pPr>
      <w:r>
        <w:t xml:space="preserve">All architectural deliverables shall comply with the Iranian National Building Regulations (Standard 2800, 2810, 2802) and the specific urban planning bylaws of the Tehran Municipality for the designated district.</w:t>
      </w:r>
    </w:p>
    <w:p>
      <w:pPr>
        <w:numPr>
          <w:ilvl w:val="0"/>
          <w:numId w:val="1001"/>
        </w:numPr>
        <w:pStyle w:val="Compact"/>
      </w:pPr>
      <w:r>
        <w:t xml:space="preserve">The Architect shall provide a minimum of three (3) revision cycles per design phase at no additional cost. Revisions exceeding this limit will be billed at 50% of the original phase rate.</w:t>
      </w:r>
    </w:p>
    <w:p>
      <w:pPr>
        <w:numPr>
          <w:ilvl w:val="0"/>
          <w:numId w:val="1001"/>
        </w:numPr>
        <w:pStyle w:val="Compact"/>
      </w:pPr>
      <w:r>
        <w:t xml:space="preserve">Payment terms are net fifteen (15) days from the date of invoice issuance. Late payments shall accrue interest at the rate prescribed by the Central Bank of Iran.</w:t>
      </w:r>
    </w:p>
    <w:p>
      <w:pPr>
        <w:numPr>
          <w:ilvl w:val="0"/>
          <w:numId w:val="1001"/>
        </w:numPr>
        <w:pStyle w:val="Compact"/>
      </w:pPr>
      <w:r>
        <w:t xml:space="preserve">The Architect shall carry professional indemnity insurance with a minimum coverage of 5,000,000,000 IRR throughout the duration of the project.</w:t>
      </w:r>
    </w:p>
    <w:p>
      <w:pPr>
        <w:numPr>
          <w:ilvl w:val="0"/>
          <w:numId w:val="1001"/>
        </w:numPr>
        <w:pStyle w:val="Compact"/>
      </w:pPr>
      <w:r>
        <w:t xml:space="preserve">Intellectual property of all design documents, drawings, and 3D models created by the Architect remains with TMAS until full payment is received. Upon final settlement, the client receives a perpetual, non-exclusive license to use the documents for the specific project in Tehran.</w:t>
      </w:r>
    </w:p>
    <w:p>
      <w:pPr>
        <w:numPr>
          <w:ilvl w:val="0"/>
          <w:numId w:val="1001"/>
        </w:numPr>
        <w:pStyle w:val="Compact"/>
      </w:pPr>
      <w:r>
        <w:t xml:space="preserve">Force majeure events, including but not limited to natural disasters, government-mandated work stoppages, or changes in Tehran's municipal regulations, shall extend the project timeline proportionally without penalty to either party.</w:t>
      </w:r>
    </w:p>
    <w:p>
      <w:pPr>
        <w:numPr>
          <w:ilvl w:val="0"/>
          <w:numId w:val="1001"/>
        </w:numPr>
        <w:pStyle w:val="Compact"/>
      </w:pPr>
      <w:r>
        <w:t xml:space="preserve">This Quotation Estimate does not include costs for structural engineering, geotechnical surveys, environmental impact assessments, or third-party testing. These shall be quoted separately if required.</w:t>
      </w:r>
    </w:p>
    <w:p>
      <w:pPr>
        <w:numPr>
          <w:ilvl w:val="0"/>
          <w:numId w:val="1001"/>
        </w:numPr>
        <w:pStyle w:val="Compact"/>
      </w:pPr>
      <w:r>
        <w:t xml:space="preserve">Disputes arising from this Quotation Estimate or the subsequent Architect Service Agreement shall be resolved through arbitration in Tehran in accordance with the rules of the Tehran Regional Arbitration Center (TRAC).</w:t>
      </w:r>
    </w:p>
    <w:p>
      <w:pPr>
        <w:numPr>
          <w:ilvl w:val="0"/>
          <w:numId w:val="1001"/>
        </w:numPr>
        <w:pStyle w:val="Compact"/>
      </w:pPr>
      <w:r>
        <w:t xml:space="preserve">All communications regarding this Quotation Estimate shall be directed to the Lead Architect or the designated project manager at TMAS, Tehran office.</w:t>
      </w:r>
    </w:p>
    <w:p>
      <w:pPr>
        <w:pStyle w:val="FirstParagraph"/>
      </w:pPr>
      <w:r>
        <w:t xml:space="preserve">5. Acceptance &amp; Authorization</w:t>
      </w:r>
    </w:p>
    <w:p>
      <w:pPr>
        <w:pStyle w:val="BodyText"/>
      </w:pPr>
      <w:r>
        <w:t xml:space="preserve">By signing below, the Client acknowledges receipt of this Quotation Estimate and agrees to the terms, conditions, and pricing outlined herein for the Architect services to be rendered in Tehran, Iran. This Quotation Estimate, once countersigned, shall form the basis of the formal Architect Service Agreement to be executed within ten (10) business days.</w:t>
      </w:r>
    </w:p>
    <w:p>
      <w:pPr>
        <w:pStyle w:val="BodyText"/>
      </w:pPr>
      <w:r>
        <w:rPr>
          <w:bCs/>
          <w:b/>
        </w:rPr>
        <w:t xml:space="preserve">For Tehran Modern Architecture Studio (Architect)</w:t>
      </w:r>
      <w:r>
        <w:br/>
      </w:r>
      <w:r>
        <w:t xml:space="preserve">Name: Mr. Amir Hossein Karimi</w:t>
      </w:r>
      <w:r>
        <w:br/>
      </w:r>
      <w:r>
        <w:t xml:space="preserve">Title: Lead Architect / Principal</w:t>
      </w:r>
      <w:r>
        <w:br/>
      </w:r>
      <w:r>
        <w:t xml:space="preserve">Signature &amp; Seal: _________________________</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&amp; Seal: _________________________</w:t>
      </w:r>
      <w:r>
        <w:br/>
      </w:r>
      <w:r>
        <w:t xml:space="preserve">Date: _______________</w:t>
      </w:r>
    </w:p>
    <w:p>
      <w:pPr>
        <w:pStyle w:val="BodyText"/>
      </w:pPr>
      <w:r>
        <w:t xml:space="preserve">Tehran Modern Architecture Studio (TMAS) | Vali-e-Asr St., Tehran, Iran | License: IR-ARCH-2019-08847</w:t>
      </w:r>
    </w:p>
    <w:p>
      <w:pPr>
        <w:pStyle w:val="BodyText"/>
      </w:pPr>
      <w:r>
        <w:t xml:space="preserve">This Quotation Estimate document is generated electronically and is valid without a physical stamp. Reference: QTE-TEH-2025-0472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Tehran, Iran</dc:title>
  <dc:creator/>
  <dc:language>en</dc:language>
  <cp:keywords/>
  <dcterms:created xsi:type="dcterms:W3CDTF">2026-10-10T03:56:12Z</dcterms:created>
  <dcterms:modified xsi:type="dcterms:W3CDTF">2026-10-10T03:56:12Z</dcterms:modified>
</cp:coreProperties>
</file>

<file path=docProps/custom.xml><?xml version="1.0" encoding="utf-8"?>
<Properties xmlns="http://schemas.openxmlformats.org/officeDocument/2006/custom-properties" xmlns:vt="http://schemas.openxmlformats.org/officeDocument/2006/docPropsVTypes"/>
</file>