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Architectural Services</w:t>
      </w:r>
    </w:p>
    <w:p>
      <w:pPr>
        <w:pStyle w:val="BodyText"/>
      </w:pPr>
      <w:r>
        <w:t xml:space="preserve">Israel — Jerusalem</w:t>
      </w:r>
    </w:p>
    <w:p>
      <w:pPr>
        <w:pStyle w:val="BodyText"/>
      </w:pPr>
      <w:r>
        <w:t xml:space="preserve">Reference No: QE-JER-2025-0472</w:t>
      </w:r>
    </w:p>
    <w:bookmarkEnd w:id="20"/>
    <w:p>
      <w:pPr>
        <w:pStyle w:val="BodyText"/>
      </w:pPr>
      <w:r>
        <w:rPr>
          <w:bCs/>
          <w:b/>
        </w:rPr>
        <w:t xml:space="preserve">Prepared By:</w:t>
      </w:r>
      <w:r>
        <w:br/>
      </w:r>
      <w:r>
        <w:t xml:space="preserve">Levant Architectural Design Studio</w:t>
      </w:r>
      <w:r>
        <w:br/>
      </w:r>
      <w:r>
        <w:t xml:space="preserve">42 King George Street</w:t>
      </w:r>
      <w:r>
        <w:br/>
      </w:r>
      <w:r>
        <w:t xml:space="preserve">Jerusalem, Israel 97100</w:t>
      </w:r>
      <w:r>
        <w:br/>
      </w:r>
      <w:r>
        <w:t xml:space="preserve">Tel: +972-2-623-4587</w:t>
      </w:r>
      <w:r>
        <w:br/>
      </w:r>
      <w:r>
        <w:t xml:space="preserve">Email: info@levantarch.co.il</w:t>
      </w:r>
      <w:r>
        <w:br/>
      </w:r>
      <w:r>
        <w:t xml:space="preserve">License No: IL-ARC-2019-0847</w:t>
      </w:r>
    </w:p>
    <w:p>
      <w:pPr>
        <w:pStyle w:val="BodyText"/>
      </w:pPr>
      <w:r>
        <w:rPr>
          <w:bCs/>
          <w:b/>
        </w:rPr>
        <w:t xml:space="preserve">Prepared For:</w:t>
      </w:r>
      <w:r>
        <w:br/>
      </w:r>
      <w:r>
        <w:t xml:space="preserve">Mr. David Ben-Ami</w:t>
      </w:r>
      <w:r>
        <w:br/>
      </w:r>
      <w:r>
        <w:t xml:space="preserve">18 Herzl Boulevard</w:t>
      </w:r>
      <w:r>
        <w:br/>
      </w:r>
      <w:r>
        <w:t xml:space="preserve">Jerusalem, Israel 97000</w:t>
      </w:r>
      <w:r>
        <w:br/>
      </w:r>
      <w:r>
        <w:t xml:space="preserve">Tel: +972-52-784-1234</w:t>
      </w:r>
      <w:r>
        <w:br/>
      </w:r>
      <w:r>
        <w:t xml:space="preserve">Email: d.benami@email.com</w:t>
      </w:r>
    </w:p>
    <w:p>
      <w:pPr>
        <w:pStyle w:val="BodyText"/>
      </w:pPr>
      <w:r>
        <w:rPr>
          <w:bCs/>
          <w:b/>
        </w:rPr>
        <w:t xml:space="preserve">Quotation Estimate Validity:</w:t>
      </w:r>
      <w:r>
        <w:t xml:space="preserve"> </w:t>
      </w:r>
      <w:r>
        <w:t xml:space="preserve">This Quotation Estimate for Architect services in Israel Jerusalem is valid for a period of sixty (60) calendar days from the date of issue. All pricing is subject to confirmation of site conditions and municipal planning approvals by the Jerusalem Municipality.</w:t>
      </w:r>
    </w:p>
    <w:bookmarkStart w:id="21" w:name="project-overview"/>
    <w:p>
      <w:pPr>
        <w:pStyle w:val="Heading2"/>
      </w:pPr>
      <w:r>
        <w:t xml:space="preserve">1. Project Overview</w:t>
      </w:r>
    </w:p>
    <w:p>
      <w:pPr>
        <w:pStyle w:val="FirstParagraph"/>
      </w:pPr>
      <w:r>
        <w:t xml:space="preserve">This Quotation Estimate is issued by Levant Architectural Design Studio, a licensed Architect firm registered in Israel, to provide comprehensive Architectural Design and Planning Services for a residential and commercial mixed-use development project located in the city of Jerusalem, Israel. The project encompasses the design, planning, and regulatory submission of a four-story building situated in the central district of Jerusalem, in accordance with all applicable Israeli building codes, the Jerusalem Municipal Planning and Building Ordinance, and the national regulations set forth by the Israel Ministry of Construction and Housing.</w:t>
      </w:r>
    </w:p>
    <w:p>
      <w:pPr>
        <w:pStyle w:val="BodyText"/>
      </w:pPr>
      <w:r>
        <w:t xml:space="preserve">As the designated Architect for this project, our firm will manage the entire design lifecycle from initial concept development through to final construction documentation, ensuring full compliance with the unique urban planning requirements specific to Jerusalem, including heritage preservation guidelines, setback regulations, and the Jerusalem City Council's aesthetic and structural standards.</w:t>
      </w:r>
    </w:p>
    <w:bookmarkEnd w:id="21"/>
    <w:bookmarkStart w:id="22" w:name="scope-of-architectural-services"/>
    <w:p>
      <w:pPr>
        <w:pStyle w:val="Heading2"/>
      </w:pPr>
      <w:r>
        <w:t xml:space="preserve">2. Scope of Architectural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Phase / Duration</w:t>
            </w:r>
          </w:p>
        </w:tc>
        <w:tc>
          <w:tcPr/>
          <w:p>
            <w:pPr>
              <w:pStyle w:val="Compact"/>
              <w:jc w:val="left"/>
            </w:pPr>
            <w:r>
              <w:t xml:space="preserve">Unit</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Initial site survey, feasibility study, and concept design for the Jerusalem residential-commercial project, including topographical analysis and solar orientation assessment specific to the Jerusalem landscape.</w:t>
            </w:r>
          </w:p>
        </w:tc>
        <w:tc>
          <w:tcPr/>
          <w:p>
            <w:pPr>
              <w:pStyle w:val="Compact"/>
              <w:jc w:val="left"/>
            </w:pPr>
            <w:r>
              <w:t xml:space="preserve">Phase 1 / 3 weeks</w:t>
            </w:r>
          </w:p>
        </w:tc>
        <w:tc>
          <w:tcPr/>
          <w:p>
            <w:pPr>
              <w:pStyle w:val="Compact"/>
              <w:jc w:val="left"/>
            </w:pPr>
            <w:r>
              <w:t xml:space="preserve">Lump Sum</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Preparation of full Architectural Design drawings (floor plans, elevations, sections, and 3D renderings) compliant with Israel Building Code (Tikun 12) and Jerusalem Municipality planning requirements.</w:t>
            </w:r>
          </w:p>
        </w:tc>
        <w:tc>
          <w:tcPr/>
          <w:p>
            <w:pPr>
              <w:pStyle w:val="Compact"/>
              <w:jc w:val="left"/>
            </w:pPr>
            <w:r>
              <w:t xml:space="preserve">Phase 2 / 6 weeks</w:t>
            </w:r>
          </w:p>
        </w:tc>
        <w:tc>
          <w:tcPr/>
          <w:p>
            <w:pPr>
              <w:pStyle w:val="Compact"/>
              <w:jc w:val="left"/>
            </w:pPr>
            <w:r>
              <w:t xml:space="preserve">Lump Sum</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Structural coordination and integration with licensed structural engineers for the Jerusalem project, including load calculations and foundation design documentation.</w:t>
            </w:r>
          </w:p>
        </w:tc>
        <w:tc>
          <w:tcPr/>
          <w:p>
            <w:pPr>
              <w:pStyle w:val="Compact"/>
              <w:jc w:val="left"/>
            </w:pPr>
            <w:r>
              <w:t xml:space="preserve">Phase 2 / 4 weeks</w:t>
            </w:r>
          </w:p>
        </w:tc>
        <w:tc>
          <w:tcPr/>
          <w:p>
            <w:pPr>
              <w:pStyle w:val="Compact"/>
              <w:jc w:val="left"/>
            </w:pPr>
            <w:r>
              <w:t xml:space="preserve">Lump Sum</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Preparation and submission of all planning and building permits to the Jerusalem Municipality Planning Department, including responses to municipal review comments and attendance at planning committee hearings.</w:t>
            </w:r>
          </w:p>
        </w:tc>
        <w:tc>
          <w:tcPr/>
          <w:p>
            <w:pPr>
              <w:pStyle w:val="Compact"/>
              <w:jc w:val="left"/>
            </w:pPr>
            <w:r>
              <w:t xml:space="preserve">Phase 3 / 8 weeks</w:t>
            </w:r>
          </w:p>
        </w:tc>
        <w:tc>
          <w:tcPr/>
          <w:p>
            <w:pPr>
              <w:pStyle w:val="Compact"/>
              <w:jc w:val="left"/>
            </w:pPr>
            <w:r>
              <w:t xml:space="preserve">Lump Sum</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Full construction documentation package: detailed Architectural drawings, specifications, material schedules, and technical notes for tender and construction purposes in Israel.</w:t>
            </w:r>
          </w:p>
        </w:tc>
        <w:tc>
          <w:tcPr/>
          <w:p>
            <w:pPr>
              <w:pStyle w:val="Compact"/>
              <w:jc w:val="left"/>
            </w:pPr>
            <w:r>
              <w:t xml:space="preserve">Phase 4 / 5 weeks</w:t>
            </w:r>
          </w:p>
        </w:tc>
        <w:tc>
          <w:tcPr/>
          <w:p>
            <w:pPr>
              <w:pStyle w:val="Compact"/>
              <w:jc w:val="left"/>
            </w:pPr>
            <w:r>
              <w:t xml:space="preserve">Lump Sum</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Site supervision and Architectural oversight during construction, including weekly site visits, progress reports, and coordination with the general contractor throughout the build in Jerusalem.</w:t>
            </w:r>
          </w:p>
        </w:tc>
        <w:tc>
          <w:tcPr/>
          <w:p>
            <w:pPr>
              <w:pStyle w:val="Compact"/>
              <w:jc w:val="left"/>
            </w:pPr>
            <w:r>
              <w:t xml:space="preserve">Phase 5 / 12 months</w:t>
            </w:r>
          </w:p>
        </w:tc>
        <w:tc>
          <w:tcPr/>
          <w:p>
            <w:pPr>
              <w:pStyle w:val="Compact"/>
              <w:jc w:val="left"/>
            </w:pPr>
            <w:r>
              <w:t xml:space="preserve">Monthly</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Final as-built documentation, handover certification, and compliance verification with the Israel Ministry of Construction and Housing for project completion in Jerusalem.</w:t>
            </w:r>
          </w:p>
        </w:tc>
        <w:tc>
          <w:tcPr/>
          <w:p>
            <w:pPr>
              <w:pStyle w:val="Compact"/>
              <w:jc w:val="left"/>
            </w:pPr>
            <w:r>
              <w:t xml:space="preserve">Phase 6 / 3 weeks</w:t>
            </w:r>
          </w:p>
        </w:tc>
        <w:tc>
          <w:tcPr/>
          <w:p>
            <w:pPr>
              <w:pStyle w:val="Compact"/>
              <w:jc w:val="left"/>
            </w:pPr>
            <w:r>
              <w:t xml:space="preserve">Lump Sum</w:t>
            </w:r>
          </w:p>
        </w:tc>
        <w:tc>
          <w:tcPr/>
          <w:p>
            <w:pPr>
              <w:pStyle w:val="Compact"/>
              <w:jc w:val="left"/>
            </w:pPr>
            <w:r>
              <w:t xml:space="preserve">25,000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(ILS)</w:t>
            </w:r>
          </w:p>
        </w:tc>
      </w:tr>
      <w:tr>
        <w:tc>
          <w:tcPr/>
          <w:p>
            <w:pPr>
              <w:pStyle w:val="Compact"/>
              <w:jc w:val="left"/>
            </w:pPr>
            <w:r>
              <w:t xml:space="preserve">Phases 1 through 5 (Design, Planning, and Documentation)</w:t>
            </w:r>
          </w:p>
        </w:tc>
        <w:tc>
          <w:tcPr/>
          <w:p>
            <w:pPr>
              <w:pStyle w:val="Compact"/>
              <w:jc w:val="left"/>
            </w:pPr>
            <w:r>
              <w:t xml:space="preserve">350,000</w:t>
            </w:r>
          </w:p>
        </w:tc>
      </w:tr>
      <w:tr>
        <w:tc>
          <w:tcPr/>
          <w:p>
            <w:pPr>
              <w:pStyle w:val="Compact"/>
              <w:jc w:val="left"/>
            </w:pPr>
            <w:r>
              <w:t xml:space="preserve">Phase 6: Site Supervision (12 months × 18,000 ILS)</w:t>
            </w:r>
          </w:p>
        </w:tc>
        <w:tc>
          <w:tcPr/>
          <w:p>
            <w:pPr>
              <w:pStyle w:val="Compact"/>
              <w:jc w:val="left"/>
            </w:pPr>
            <w:r>
              <w:t xml:space="preserve">216,000</w:t>
            </w:r>
          </w:p>
        </w:tc>
      </w:tr>
      <w:tr>
        <w:tc>
          <w:tcPr/>
          <w:p>
            <w:pPr>
              <w:pStyle w:val="Compact"/>
              <w:jc w:val="left"/>
            </w:pPr>
            <w:r>
              <w:t xml:space="preserve">Phase 7: Final Documentation and Handover</w:t>
            </w:r>
          </w:p>
        </w:tc>
        <w:tc>
          <w:tcPr/>
          <w:p>
            <w:pPr>
              <w:pStyle w:val="Compact"/>
              <w:jc w:val="left"/>
            </w:pPr>
            <w:r>
              <w:t xml:space="preserve">25,000</w:t>
            </w:r>
          </w:p>
        </w:tc>
      </w:tr>
      <w:tr>
        <w:tc>
          <w:tcPr/>
          <w:p>
            <w:pPr>
              <w:pStyle w:val="Compact"/>
              <w:jc w:val="left"/>
            </w:pPr>
            <w:r>
              <w:t xml:space="preserve">Subtotal</w:t>
            </w:r>
          </w:p>
        </w:tc>
        <w:tc>
          <w:tcPr/>
          <w:p>
            <w:pPr>
              <w:pStyle w:val="Compact"/>
              <w:jc w:val="left"/>
            </w:pPr>
            <w:r>
              <w:t xml:space="preserve">591,000</w:t>
            </w:r>
          </w:p>
        </w:tc>
      </w:tr>
      <w:tr>
        <w:tc>
          <w:tcPr/>
          <w:p>
            <w:pPr>
              <w:pStyle w:val="Compact"/>
              <w:jc w:val="left"/>
            </w:pPr>
            <w:r>
              <w:t xml:space="preserve">VAT (18% — Israel Value Added Tax)</w:t>
            </w:r>
          </w:p>
        </w:tc>
        <w:tc>
          <w:tcPr/>
          <w:p>
            <w:pPr>
              <w:pStyle w:val="Compact"/>
              <w:jc w:val="left"/>
            </w:pPr>
            <w:r>
              <w:t xml:space="preserve">106,380</w:t>
            </w:r>
          </w:p>
        </w:tc>
      </w:tr>
      <w:tr>
        <w:tc>
          <w:tcPr/>
          <w:p>
            <w:pPr>
              <w:pStyle w:val="Compact"/>
              <w:jc w:val="left"/>
            </w:pPr>
            <w:r>
              <w:t xml:space="preserve">Total Quotation Estimate (Architect Services, Israel Jerusalem)</w:t>
            </w:r>
          </w:p>
        </w:tc>
        <w:tc>
          <w:tcPr/>
          <w:p>
            <w:pPr>
              <w:pStyle w:val="Compact"/>
              <w:jc w:val="left"/>
            </w:pPr>
            <w:r>
              <w:t xml:space="preserve">697,380 ILS</w:t>
            </w:r>
          </w:p>
        </w:tc>
      </w:tr>
    </w:tbl>
    <w:bookmarkEnd w:id="23"/>
    <w:bookmarkStart w:id="24" w:name="payment-schedule"/>
    <w:p>
      <w:pPr>
        <w:pStyle w:val="Heading2"/>
      </w:pPr>
      <w:r>
        <w:t xml:space="preserve">4. Payment Schedule</w:t>
      </w:r>
    </w:p>
    <w:p>
      <w:pPr>
        <w:pStyle w:val="FirstParagraph"/>
      </w:pPr>
      <w:r>
        <w:t xml:space="preserve">Payment for this Quotation Estimate shall be made in accordance with the following milestone-based schedule: 20% upon contract signing, 25% upon completion of Phase 2 (design drawings), 20% upon receipt of building permits from the Jerusalem Municipality, 20% upon delivery of full construction documentation, and 15% upon final project handover and certification. Monthly site supervision fees shall be invoiced at the beginning of each calendar month.</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issued exclusively for the Architect services described herein for the specified project in Jerusalem, Israel, and may not be transferred or applied to any other project or location without written consent.</w:t>
      </w:r>
    </w:p>
    <w:p>
      <w:pPr>
        <w:numPr>
          <w:ilvl w:val="0"/>
          <w:numId w:val="1001"/>
        </w:numPr>
        <w:pStyle w:val="Compact"/>
      </w:pPr>
      <w:r>
        <w:t xml:space="preserve">All Architectural work shall be performed in strict compliance with the Israeli Planning and Building Law (5725-1965), the Jerusalem Municipal Ordinance, and all relevant national and local regulations in force at the time of execution.</w:t>
      </w:r>
    </w:p>
    <w:p>
      <w:pPr>
        <w:numPr>
          <w:ilvl w:val="0"/>
          <w:numId w:val="1001"/>
        </w:numPr>
        <w:pStyle w:val="Compact"/>
      </w:pPr>
      <w:r>
        <w:t xml:space="preserve">The Architect firm shall carry professional indemnity insurance in the amount of no less than 2,000,000 ILS, as required by the Israel Architects Association.</w:t>
      </w:r>
    </w:p>
    <w:p>
      <w:pPr>
        <w:numPr>
          <w:ilvl w:val="0"/>
          <w:numId w:val="1001"/>
        </w:numPr>
        <w:pStyle w:val="Compact"/>
      </w:pPr>
      <w:r>
        <w:t xml:space="preserve">Any changes to the scope of work, additional design iterations, or unforeseen municipal requirements identified by the Jerusalem planning authorities shall be subject to a supplementary Quotation Estimate issued by the Architect firm.</w:t>
      </w:r>
    </w:p>
    <w:p>
      <w:pPr>
        <w:numPr>
          <w:ilvl w:val="0"/>
          <w:numId w:val="1001"/>
        </w:numPr>
        <w:pStyle w:val="Compact"/>
      </w:pPr>
      <w:r>
        <w:t xml:space="preserve">The Architect retains full intellectual property rights over all design drawings and documentation produced under this Quotation Estimate until full payment has been received.</w:t>
      </w:r>
    </w:p>
    <w:p>
      <w:pPr>
        <w:numPr>
          <w:ilvl w:val="0"/>
          <w:numId w:val="1001"/>
        </w:numPr>
        <w:pStyle w:val="Compact"/>
      </w:pPr>
      <w:r>
        <w:t xml:space="preserve">Disputes arising from this Quotation Estimate shall be resolved in accordance with Israeli law, with jurisdiction vested in the courts of Jerusalem, Israel.</w:t>
      </w:r>
    </w:p>
    <w:p>
      <w:pPr>
        <w:numPr>
          <w:ilvl w:val="0"/>
          <w:numId w:val="1001"/>
        </w:numPr>
        <w:pStyle w:val="Compact"/>
      </w:pPr>
      <w:r>
        <w:t xml:space="preserve">This Quotation Estimate does not include costs for third-party services such as geotechnical surveys, environmental impact assessments, or specialized MEP engineering, which shall be quoted separately.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Architect services in Israel Jerusalem and agrees to the terms, conditions, and pricing outlined herein. The Architect firm confirms its availability and commitment to deliver the services described in accordance with the highest professional standards of the Israeli architectural profession.</w:t>
      </w:r>
    </w:p>
    <w:p>
      <w:pPr>
        <w:pStyle w:val="BodyText"/>
      </w:pPr>
      <w:r>
        <w:rPr>
          <w:bCs/>
          <w:b/>
        </w:rPr>
        <w:t xml:space="preserve">For Levant Architectural Design Studio</w:t>
      </w:r>
      <w:r>
        <w:br/>
      </w:r>
      <w:r>
        <w:t xml:space="preserve">(Architect of Record, Israel)</w:t>
      </w:r>
      <w:r>
        <w:br/>
      </w:r>
      <w:r>
        <w:t xml:space="preserve">Name: _________________________</w:t>
      </w:r>
      <w:r>
        <w:br/>
      </w:r>
      <w:r>
        <w:t xml:space="preserve">Date: _________________________</w:t>
      </w:r>
    </w:p>
    <w:p>
      <w:pPr>
        <w:pStyle w:val="BodyText"/>
      </w:pPr>
      <w:r>
        <w:rPr>
          <w:bCs/>
          <w:b/>
        </w:rPr>
        <w:t xml:space="preserve">For the Client</w:t>
      </w:r>
      <w:r>
        <w:br/>
      </w:r>
      <w:r>
        <w:t xml:space="preserve">(Project Owner, Jerusalem)</w:t>
      </w:r>
      <w:r>
        <w:br/>
      </w:r>
      <w:r>
        <w:t xml:space="preserve">Name: _________________________</w:t>
      </w:r>
      <w:r>
        <w:br/>
      </w:r>
      <w:r>
        <w:t xml:space="preserve">Date: _________________________</w:t>
      </w:r>
    </w:p>
    <w:p>
      <w:pPr>
        <w:pStyle w:val="BodyText"/>
      </w:pPr>
      <w:r>
        <w:t xml:space="preserve">Quotation Estimate No. QE-JER-2025-0472 | Levant Architectural Design Studio | Jerusalem, Israel</w:t>
      </w:r>
    </w:p>
    <w:p>
      <w:pPr>
        <w:pStyle w:val="BodyText"/>
      </w:pPr>
      <w:r>
        <w:t xml:space="preserve">This document is a formal Quotation Estimate for Architect services and does not constitute a binding contract until countersigned by both parties.</w:t>
      </w:r>
    </w:p>
    <w:p>
      <w:pPr>
        <w:pStyle w:val="BodyText"/>
      </w:pPr>
      <w:r>
        <w:t xml:space="preserve">© 2025 Levant Architectural Design Studio. All rights reserved. Registered with the Israel Architects Association.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Israel Jerusalem</dc:title>
  <dc:creator/>
  <dc:language>en</dc:language>
  <cp:keywords/>
  <dcterms:created xsi:type="dcterms:W3CDTF">2026-10-10T05:44:41Z</dcterms:created>
  <dcterms:modified xsi:type="dcterms:W3CDTF">2026-10-10T05:44:41Z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