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1" w:name="quotation-estimate"/>
    <w:p>
      <w:pPr>
        <w:pStyle w:val="Heading1"/>
      </w:pPr>
      <w:r>
        <w:t xml:space="preserve">QUOTATION ESTIMATE</w:t>
      </w:r>
    </w:p>
    <w:bookmarkStart w:id="20" w:name="architectural-design-consulting-services"/>
    <w:p>
      <w:pPr>
        <w:pStyle w:val="Heading2"/>
      </w:pPr>
      <w:r>
        <w:t xml:space="preserve">Architectural Design &amp; Consulting Services</w:t>
      </w:r>
    </w:p>
    <w:p>
      <w:pPr>
        <w:pStyle w:val="FirstParagraph"/>
      </w:pPr>
      <w:r>
        <w:t xml:space="preserve">Prepared for clients in</w:t>
      </w:r>
      <w:r>
        <w:t xml:space="preserve"> </w:t>
      </w:r>
      <w:r>
        <w:rPr>
          <w:bCs/>
          <w:b/>
        </w:rPr>
        <w:t xml:space="preserve">Israel Tel Aviv</w:t>
      </w:r>
      <w:r>
        <w:t xml:space="preserve"> </w:t>
      </w:r>
      <w:r>
        <w:t xml:space="preserve">and surrounding metropolitan areas</w:t>
      </w:r>
    </w:p>
    <w:bookmarkEnd w:id="20"/>
    <w:bookmarkEnd w:id="21"/>
    <w:p>
      <w:pPr>
        <w:pStyle w:val="BodyText"/>
      </w:pPr>
      <w:r>
        <w:rPr>
          <w:bCs/>
          <w:b/>
        </w:rPr>
        <w:t xml:space="preserve">Quotation Estimate No.:</w:t>
      </w:r>
      <w:r>
        <w:t xml:space="preserve"> </w:t>
      </w:r>
      <w:r>
        <w:t xml:space="preserve">QTE-TLV-2025-0487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Architect Firm:</w:t>
      </w:r>
      <w:r>
        <w:t xml:space="preserve"> </w:t>
      </w:r>
      <w:r>
        <w:t xml:space="preserve">Levant Design &amp; Build Architects Ltd.</w:t>
      </w:r>
      <w:r>
        <w:br/>
      </w:r>
      <w:r>
        <w:rPr>
          <w:bCs/>
          <w:b/>
        </w:rPr>
        <w:t xml:space="preserve">Address:</w:t>
      </w:r>
      <w:r>
        <w:t xml:space="preserve"> </w:t>
      </w:r>
      <w:r>
        <w:t xml:space="preserve">42 Dizengoff Street, Tel Aviv-Yafo, Israel 63500</w:t>
      </w:r>
      <w:r>
        <w:br/>
      </w:r>
      <w:r>
        <w:rPr>
          <w:bCs/>
          <w:b/>
        </w:rPr>
        <w:t xml:space="preserve">Licence No.:</w:t>
      </w:r>
      <w:r>
        <w:t xml:space="preserve"> </w:t>
      </w:r>
      <w:r>
        <w:t xml:space="preserve">IL-ARCH-2019-0342</w:t>
      </w:r>
    </w:p>
    <w:bookmarkStart w:id="22" w:name="client-information"/>
    <w:p>
      <w:pPr>
        <w:pStyle w:val="Heading3"/>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Mr. David Ben-Ari</w:t>
            </w:r>
          </w:p>
        </w:tc>
      </w:tr>
      <w:tr>
        <w:tc>
          <w:tcPr/>
          <w:p>
            <w:pPr>
              <w:pStyle w:val="Compact"/>
              <w:jc w:val="left"/>
            </w:pPr>
            <w:r>
              <w:t xml:space="preserve">Project Address</w:t>
            </w:r>
          </w:p>
        </w:tc>
        <w:tc>
          <w:tcPr/>
          <w:p>
            <w:pPr>
              <w:pStyle w:val="Compact"/>
              <w:jc w:val="left"/>
            </w:pPr>
            <w:r>
              <w:t xml:space="preserve">18 Rothschild Boulevard, Tel Aviv-Yafo, Israel 65000</w:t>
            </w:r>
          </w:p>
        </w:tc>
      </w:tr>
      <w:tr>
        <w:tc>
          <w:tcPr/>
          <w:p>
            <w:pPr>
              <w:pStyle w:val="Compact"/>
              <w:jc w:val="left"/>
            </w:pPr>
            <w:r>
              <w:t xml:space="preserve">Project Type</w:t>
            </w:r>
          </w:p>
        </w:tc>
        <w:tc>
          <w:tcPr/>
          <w:p>
            <w:pPr>
              <w:pStyle w:val="Compact"/>
              <w:jc w:val="left"/>
            </w:pPr>
            <w:r>
              <w:t xml:space="preserve">Residential Renovation &amp; Extension – 4-Storey Building</w:t>
            </w:r>
          </w:p>
        </w:tc>
      </w:tr>
      <w:tr>
        <w:tc>
          <w:tcPr/>
          <w:p>
            <w:pPr>
              <w:pStyle w:val="Compact"/>
              <w:jc w:val="left"/>
            </w:pPr>
            <w:r>
              <w:t xml:space="preserve">Contact Email</w:t>
            </w:r>
          </w:p>
        </w:tc>
        <w:tc>
          <w:tcPr/>
          <w:p>
            <w:pPr>
              <w:pStyle w:val="Compact"/>
              <w:jc w:val="left"/>
            </w:pPr>
            <w:r>
              <w:t xml:space="preserve">d.benari@email.co.il</w:t>
            </w:r>
          </w:p>
        </w:tc>
      </w:tr>
      <w:tr>
        <w:tc>
          <w:tcPr/>
          <w:p>
            <w:pPr>
              <w:pStyle w:val="Compact"/>
              <w:jc w:val="left"/>
            </w:pPr>
            <w:r>
              <w:t xml:space="preserve">Contact Phone</w:t>
            </w:r>
          </w:p>
        </w:tc>
        <w:tc>
          <w:tcPr/>
          <w:p>
            <w:pPr>
              <w:pStyle w:val="Compact"/>
              <w:jc w:val="left"/>
            </w:pPr>
            <w:r>
              <w:t xml:space="preserve">+972-52-345-6789</w:t>
            </w:r>
          </w:p>
        </w:tc>
      </w:tr>
    </w:tbl>
    <w:bookmarkEnd w:id="22"/>
    <w:bookmarkStart w:id="23" w:name="scope-of-architect-services"/>
    <w:p>
      <w:pPr>
        <w:pStyle w:val="Heading3"/>
      </w:pPr>
      <w:r>
        <w:t xml:space="preserve">2. Scope of Architect Services</w:t>
      </w:r>
    </w:p>
    <w:p>
      <w:pPr>
        <w:pStyle w:val="FirstParagraph"/>
      </w:pPr>
      <w:r>
        <w:t xml:space="preserve">This</w:t>
      </w:r>
      <w:r>
        <w:t xml:space="preserve"> </w:t>
      </w:r>
      <w:r>
        <w:rPr>
          <w:bCs/>
          <w:b/>
        </w:rPr>
        <w:t xml:space="preserve">Quotation Estimate</w:t>
      </w:r>
      <w:r>
        <w:t xml:space="preserve"> </w:t>
      </w:r>
      <w:r>
        <w:t xml:space="preserve">outlines the comprehensive architectural services to be provided by our licensed</w:t>
      </w:r>
      <w:r>
        <w:t xml:space="preserve"> </w:t>
      </w:r>
      <w:r>
        <w:rPr>
          <w:bCs/>
          <w:b/>
        </w:rPr>
        <w:t xml:space="preserve">Architect</w:t>
      </w:r>
      <w:r>
        <w:t xml:space="preserve"> </w:t>
      </w:r>
      <w:r>
        <w:t xml:space="preserve">team for the residential renovation and extension project located in</w:t>
      </w:r>
      <w:r>
        <w:t xml:space="preserve"> </w:t>
      </w:r>
      <w:r>
        <w:rPr>
          <w:bCs/>
          <w:b/>
        </w:rPr>
        <w:t xml:space="preserve">Israel Tel Aviv</w:t>
      </w:r>
      <w:r>
        <w:t xml:space="preserve">. The scope encompasses all phases from initial concept design through to construction supervision, in full compliance with the Israeli Building Code (Tikun 12), the Tel Aviv-Yafo Municipality planning regulations, and the requirements of the Israel Land Authority.</w:t>
      </w:r>
    </w:p>
    <w:p>
      <w:pPr>
        <w:pStyle w:val="BodyText"/>
      </w:pPr>
      <w:r>
        <w:t xml:space="preserve">The</w:t>
      </w:r>
      <w:r>
        <w:t xml:space="preserve"> </w:t>
      </w:r>
      <w:r>
        <w:rPr>
          <w:bCs/>
          <w:b/>
        </w:rPr>
        <w:t xml:space="preserve">Architect</w:t>
      </w:r>
      <w:r>
        <w:t xml:space="preserve"> </w:t>
      </w:r>
      <w:r>
        <w:t xml:space="preserve">of record will manage all design documentation, coordinate with structural engineers, MEP consultants, and the local planning authority in Tel Aviv, and ensure that the final design meets the aesthetic, functional, and regulatory standards expected in the Tel Aviv metropolitan area.</w:t>
      </w:r>
    </w:p>
    <w:bookmarkEnd w:id="23"/>
    <w:bookmarkStart w:id="24" w:name="detailed-pricing-breakdown"/>
    <w:p>
      <w:pPr>
        <w:pStyle w:val="Heading3"/>
      </w:pPr>
      <w:r>
        <w:t xml:space="preserve">3. Detailed Pricing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 / Service</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Amount (ILS)</w:t>
            </w:r>
          </w:p>
        </w:tc>
      </w:tr>
      <w:tr>
        <w:tc>
          <w:tcPr/>
          <w:p>
            <w:pPr>
              <w:pStyle w:val="Compact"/>
              <w:jc w:val="left"/>
            </w:pPr>
            <w:r>
              <w:t xml:space="preserve">Phase 1 – Feasibility &amp; Concept Design</w:t>
            </w:r>
          </w:p>
        </w:tc>
        <w:tc>
          <w:tcPr/>
          <w:p>
            <w:pPr>
              <w:pStyle w:val="Compact"/>
              <w:jc w:val="left"/>
            </w:pPr>
            <w:r>
              <w:t xml:space="preserve">Site analysis in Tel Aviv, zoning verification with Tel Aviv-Yafo Municipality, concept sketches, massing studies, and preliminary budget estimation.</w:t>
            </w:r>
          </w:p>
        </w:tc>
        <w:tc>
          <w:tcPr/>
          <w:p>
            <w:pPr>
              <w:pStyle w:val="Compact"/>
              <w:jc w:val="left"/>
            </w:pPr>
            <w:r>
              <w:t xml:space="preserve">4 weeks</w:t>
            </w:r>
          </w:p>
        </w:tc>
        <w:tc>
          <w:tcPr/>
          <w:p>
            <w:pPr>
              <w:pStyle w:val="Compact"/>
              <w:jc w:val="left"/>
            </w:pPr>
            <w:r>
              <w:t xml:space="preserve">45,000</w:t>
            </w:r>
          </w:p>
        </w:tc>
      </w:tr>
      <w:tr>
        <w:tc>
          <w:tcPr/>
          <w:p>
            <w:pPr>
              <w:pStyle w:val="Compact"/>
              <w:jc w:val="left"/>
            </w:pPr>
            <w:r>
              <w:t xml:space="preserve">Phase 2 – Schematic Design</w:t>
            </w:r>
          </w:p>
        </w:tc>
        <w:tc>
          <w:tcPr/>
          <w:p>
            <w:pPr>
              <w:pStyle w:val="Compact"/>
              <w:jc w:val="left"/>
            </w:pPr>
            <w:r>
              <w:t xml:space="preserve">Detailed floor plans, elevations, sections, 3D renderings, material palettes, and coordination with structural and MEP consultants.</w:t>
            </w:r>
          </w:p>
        </w:tc>
        <w:tc>
          <w:tcPr/>
          <w:p>
            <w:pPr>
              <w:pStyle w:val="Compact"/>
              <w:jc w:val="left"/>
            </w:pPr>
            <w:r>
              <w:t xml:space="preserve">6 weeks</w:t>
            </w:r>
          </w:p>
        </w:tc>
        <w:tc>
          <w:tcPr/>
          <w:p>
            <w:pPr>
              <w:pStyle w:val="Compact"/>
              <w:jc w:val="left"/>
            </w:pPr>
            <w:r>
              <w:t xml:space="preserve">78,000</w:t>
            </w:r>
          </w:p>
        </w:tc>
      </w:tr>
      <w:tr>
        <w:tc>
          <w:tcPr/>
          <w:p>
            <w:pPr>
              <w:pStyle w:val="Compact"/>
              <w:jc w:val="left"/>
            </w:pPr>
            <w:r>
              <w:t xml:space="preserve">Phase 3 – Design Development</w:t>
            </w:r>
          </w:p>
        </w:tc>
        <w:tc>
          <w:tcPr/>
          <w:p>
            <w:pPr>
              <w:pStyle w:val="Compact"/>
              <w:jc w:val="left"/>
            </w:pPr>
            <w:r>
              <w:t xml:space="preserve">Refined architectural drawings, façade design compliant with Tel Aviv heritage guidelines, interior layout finalization, and landscape integration.</w:t>
            </w:r>
          </w:p>
        </w:tc>
        <w:tc>
          <w:tcPr/>
          <w:p>
            <w:pPr>
              <w:pStyle w:val="Compact"/>
              <w:jc w:val="left"/>
            </w:pPr>
            <w:r>
              <w:t xml:space="preserve">5 weeks</w:t>
            </w:r>
          </w:p>
        </w:tc>
        <w:tc>
          <w:tcPr/>
          <w:p>
            <w:pPr>
              <w:pStyle w:val="Compact"/>
              <w:jc w:val="left"/>
            </w:pPr>
            <w:r>
              <w:t xml:space="preserve">62,000</w:t>
            </w:r>
          </w:p>
        </w:tc>
      </w:tr>
      <w:tr>
        <w:tc>
          <w:tcPr/>
          <w:p>
            <w:pPr>
              <w:pStyle w:val="Compact"/>
              <w:jc w:val="left"/>
            </w:pPr>
            <w:r>
              <w:t xml:space="preserve">Phase 4 – Construction Documentation</w:t>
            </w:r>
          </w:p>
        </w:tc>
        <w:tc>
          <w:tcPr/>
          <w:p>
            <w:pPr>
              <w:pStyle w:val="Compact"/>
              <w:jc w:val="left"/>
            </w:pPr>
            <w:r>
              <w:t xml:space="preserve">Full set of construction drawings (A1 scale), specifications, BOQ preparation, and submission package for Tel Aviv building permit application.</w:t>
            </w:r>
          </w:p>
        </w:tc>
        <w:tc>
          <w:tcPr/>
          <w:p>
            <w:pPr>
              <w:pStyle w:val="Compact"/>
              <w:jc w:val="left"/>
            </w:pPr>
            <w:r>
              <w:t xml:space="preserve">8 weeks</w:t>
            </w:r>
          </w:p>
        </w:tc>
        <w:tc>
          <w:tcPr/>
          <w:p>
            <w:pPr>
              <w:pStyle w:val="Compact"/>
              <w:jc w:val="left"/>
            </w:pPr>
            <w:r>
              <w:t xml:space="preserve">95,000</w:t>
            </w:r>
          </w:p>
        </w:tc>
      </w:tr>
      <w:tr>
        <w:tc>
          <w:tcPr/>
          <w:p>
            <w:pPr>
              <w:pStyle w:val="Compact"/>
              <w:jc w:val="left"/>
            </w:pPr>
            <w:r>
              <w:t xml:space="preserve">Phase 5 – Permit &amp; Approval Support</w:t>
            </w:r>
          </w:p>
        </w:tc>
        <w:tc>
          <w:tcPr/>
          <w:p>
            <w:pPr>
              <w:pStyle w:val="Compact"/>
              <w:jc w:val="left"/>
            </w:pPr>
            <w:r>
              <w:t xml:space="preserve">Representation before the Tel Aviv-Yafo Planning &amp; Building Committee, response to municipal comments, and final permit acquisition.</w:t>
            </w:r>
          </w:p>
        </w:tc>
        <w:tc>
          <w:tcPr/>
          <w:p>
            <w:pPr>
              <w:pStyle w:val="Compact"/>
              <w:jc w:val="left"/>
            </w:pPr>
            <w:r>
              <w:t xml:space="preserve">6 weeks</w:t>
            </w:r>
          </w:p>
        </w:tc>
        <w:tc>
          <w:tcPr/>
          <w:p>
            <w:pPr>
              <w:pStyle w:val="Compact"/>
              <w:jc w:val="left"/>
            </w:pPr>
            <w:r>
              <w:t xml:space="preserve">38,000</w:t>
            </w:r>
          </w:p>
        </w:tc>
      </w:tr>
      <w:tr>
        <w:tc>
          <w:tcPr/>
          <w:p>
            <w:pPr>
              <w:pStyle w:val="Compact"/>
              <w:jc w:val="left"/>
            </w:pPr>
            <w:r>
              <w:t xml:space="preserve">Phase 6 – Construction Supervision</w:t>
            </w:r>
          </w:p>
        </w:tc>
        <w:tc>
          <w:tcPr/>
          <w:p>
            <w:pPr>
              <w:pStyle w:val="Compact"/>
              <w:jc w:val="left"/>
            </w:pPr>
            <w:r>
              <w:t xml:space="preserve">Weekly site visits in Tel Aviv, quality control, as-built documentation, and final handover inspection.</w:t>
            </w:r>
          </w:p>
        </w:tc>
        <w:tc>
          <w:tcPr/>
          <w:p>
            <w:pPr>
              <w:pStyle w:val="Compact"/>
              <w:jc w:val="left"/>
            </w:pPr>
            <w:r>
              <w:t xml:space="preserve">12 months</w:t>
            </w:r>
          </w:p>
        </w:tc>
        <w:tc>
          <w:tcPr/>
          <w:p>
            <w:pPr>
              <w:pStyle w:val="Compact"/>
              <w:jc w:val="left"/>
            </w:pPr>
            <w:r>
              <w:t xml:space="preserve">120,000</w:t>
            </w:r>
          </w:p>
        </w:tc>
      </w:tr>
      <w:tr>
        <w:tc>
          <w:tcPr/>
          <w:p>
            <w:pPr>
              <w:pStyle w:val="Compact"/>
              <w:jc w:val="left"/>
            </w:pPr>
            <w:r>
              <w:t xml:space="preserve">Additional – Interior Design Package</w:t>
            </w:r>
          </w:p>
        </w:tc>
        <w:tc>
          <w:tcPr/>
          <w:p>
            <w:pPr>
              <w:pStyle w:val="Compact"/>
              <w:jc w:val="left"/>
            </w:pPr>
            <w:r>
              <w:t xml:space="preserve">Complete interior design for all four floors including kitchen, bathrooms, and built-in storage solutions.</w:t>
            </w:r>
          </w:p>
        </w:tc>
        <w:tc>
          <w:tcPr/>
          <w:p>
            <w:pPr>
              <w:pStyle w:val="Compact"/>
              <w:jc w:val="left"/>
            </w:pPr>
            <w:r>
              <w:t xml:space="preserve">4 weeks</w:t>
            </w:r>
          </w:p>
        </w:tc>
        <w:tc>
          <w:tcPr/>
          <w:p>
            <w:pPr>
              <w:pStyle w:val="Compact"/>
              <w:jc w:val="left"/>
            </w:pPr>
            <w:r>
              <w:t xml:space="preserve">55,000</w:t>
            </w:r>
          </w:p>
        </w:tc>
      </w:tr>
      <w:tr>
        <w:tc>
          <w:tcPr>
            <w:gridSpan w:val="3"/>
          </w:tcPr>
          <w:p>
            <w:pPr>
              <w:pStyle w:val="Compact"/>
              <w:jc w:val="left"/>
            </w:pPr>
            <w:r>
              <w:t xml:space="preserve">Subtotal</w:t>
            </w:r>
          </w:p>
        </w:tc>
        <w:tc>
          <w:tcPr/>
          <w:p>
            <w:pPr>
              <w:pStyle w:val="Compact"/>
              <w:jc w:val="left"/>
            </w:pPr>
            <w:r>
              <w:t xml:space="preserve">493,000</w:t>
            </w:r>
          </w:p>
        </w:tc>
      </w:tr>
      <w:tr>
        <w:tc>
          <w:tcPr>
            <w:gridSpan w:val="3"/>
          </w:tcPr>
          <w:p>
            <w:pPr>
              <w:pStyle w:val="Compact"/>
              <w:jc w:val="left"/>
            </w:pPr>
            <w:r>
              <w:t xml:space="preserve">VAT (18%)</w:t>
            </w:r>
          </w:p>
        </w:tc>
        <w:tc>
          <w:tcPr/>
          <w:p>
            <w:pPr>
              <w:pStyle w:val="Compact"/>
              <w:jc w:val="left"/>
            </w:pPr>
            <w:r>
              <w:t xml:space="preserve">88,740</w:t>
            </w:r>
          </w:p>
        </w:tc>
      </w:tr>
      <w:tr>
        <w:tc>
          <w:tcPr>
            <w:gridSpan w:val="3"/>
          </w:tcPr>
          <w:p>
            <w:pPr>
              <w:pStyle w:val="Compact"/>
              <w:jc w:val="left"/>
            </w:pPr>
            <w:r>
              <w:rPr>
                <w:bCs/>
                <w:b/>
              </w:rPr>
              <w:t xml:space="preserve">TOTAL QUOTATION ESTIMATE (incl. VAT)</w:t>
            </w:r>
          </w:p>
        </w:tc>
        <w:tc>
          <w:tcPr/>
          <w:p>
            <w:pPr>
              <w:pStyle w:val="Compact"/>
              <w:jc w:val="left"/>
            </w:pPr>
            <w:r>
              <w:rPr>
                <w:bCs/>
                <w:b/>
              </w:rPr>
              <w:t xml:space="preserve">581,740 ILS</w:t>
            </w:r>
          </w:p>
        </w:tc>
      </w:tr>
    </w:tbl>
    <w:bookmarkEnd w:id="24"/>
    <w:bookmarkStart w:id="25" w:name="payment-schedule"/>
    <w:p>
      <w:pPr>
        <w:pStyle w:val="Heading3"/>
      </w:pPr>
      <w:r>
        <w:t xml:space="preserve">4. Payment Schedule</w:t>
      </w:r>
    </w:p>
    <w:p>
      <w:pPr>
        <w:pStyle w:val="FirstParagraph"/>
      </w:pPr>
      <w:r>
        <w:t xml:space="preserve">Payment for the services described in this</w:t>
      </w:r>
      <w:r>
        <w:t xml:space="preserve"> </w:t>
      </w:r>
      <w:r>
        <w:rPr>
          <w:bCs/>
          <w:b/>
        </w:rPr>
        <w:t xml:space="preserve">Quotation Estimate</w:t>
      </w:r>
      <w:r>
        <w:t xml:space="preserve"> </w:t>
      </w:r>
      <w:r>
        <w:t xml:space="preserve">shall be made in accordance with the following milestone-based schedule, as is standard practice for</w:t>
      </w:r>
      <w:r>
        <w:t xml:space="preserve"> </w:t>
      </w:r>
      <w:r>
        <w:rPr>
          <w:bCs/>
          <w:b/>
        </w:rPr>
        <w:t xml:space="preserve">Architect</w:t>
      </w:r>
      <w:r>
        <w:t xml:space="preserve"> </w:t>
      </w:r>
      <w:r>
        <w:t xml:space="preserve">engagements in</w:t>
      </w:r>
      <w:r>
        <w:t xml:space="preserve"> </w:t>
      </w:r>
      <w:r>
        <w:rPr>
          <w:bCs/>
          <w:b/>
        </w:rPr>
        <w:t xml:space="preserve">Israel Tel Aviv</w:t>
      </w:r>
      <w:r>
        <w:t xml:space="preserv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(ILS, incl. VAT)</w:t>
            </w:r>
          </w:p>
        </w:tc>
      </w:tr>
      <w:tr>
        <w:tc>
          <w:tcPr/>
          <w:p>
            <w:pPr>
              <w:pStyle w:val="Compact"/>
              <w:jc w:val="left"/>
            </w:pPr>
            <w:r>
              <w:t xml:space="preserve">Upon signing of this Quotation Estimate</w:t>
            </w:r>
          </w:p>
        </w:tc>
        <w:tc>
          <w:tcPr/>
          <w:p>
            <w:pPr>
              <w:pStyle w:val="Compact"/>
              <w:jc w:val="left"/>
            </w:pPr>
            <w:r>
              <w:t xml:space="preserve">15%</w:t>
            </w:r>
          </w:p>
        </w:tc>
        <w:tc>
          <w:tcPr/>
          <w:p>
            <w:pPr>
              <w:pStyle w:val="Compact"/>
              <w:jc w:val="left"/>
            </w:pPr>
            <w:r>
              <w:t xml:space="preserve">87,261</w:t>
            </w:r>
          </w:p>
        </w:tc>
      </w:tr>
      <w:tr>
        <w:tc>
          <w:tcPr/>
          <w:p>
            <w:pPr>
              <w:pStyle w:val="Compact"/>
              <w:jc w:val="left"/>
            </w:pPr>
            <w:r>
              <w:t xml:space="preserve">Upon approval of Schematic Design</w:t>
            </w:r>
          </w:p>
        </w:tc>
        <w:tc>
          <w:tcPr/>
          <w:p>
            <w:pPr>
              <w:pStyle w:val="Compact"/>
              <w:jc w:val="left"/>
            </w:pPr>
            <w:r>
              <w:t xml:space="preserve">20%</w:t>
            </w:r>
          </w:p>
        </w:tc>
        <w:tc>
          <w:tcPr/>
          <w:p>
            <w:pPr>
              <w:pStyle w:val="Compact"/>
              <w:jc w:val="left"/>
            </w:pPr>
            <w:r>
              <w:t xml:space="preserve">116,348</w:t>
            </w:r>
          </w:p>
        </w:tc>
      </w:tr>
      <w:tr>
        <w:tc>
          <w:tcPr/>
          <w:p>
            <w:pPr>
              <w:pStyle w:val="Compact"/>
              <w:jc w:val="left"/>
            </w:pPr>
            <w:r>
              <w:t xml:space="preserve">Upon submission of Construction Documentation</w:t>
            </w:r>
          </w:p>
        </w:tc>
        <w:tc>
          <w:tcPr/>
          <w:p>
            <w:pPr>
              <w:pStyle w:val="Compact"/>
              <w:jc w:val="left"/>
            </w:pPr>
            <w:r>
              <w:t xml:space="preserve">25%</w:t>
            </w:r>
          </w:p>
        </w:tc>
        <w:tc>
          <w:tcPr/>
          <w:p>
            <w:pPr>
              <w:pStyle w:val="Compact"/>
              <w:jc w:val="left"/>
            </w:pPr>
            <w:r>
              <w:t xml:space="preserve">145,435</w:t>
            </w:r>
          </w:p>
        </w:tc>
      </w:tr>
      <w:tr>
        <w:tc>
          <w:tcPr/>
          <w:p>
            <w:pPr>
              <w:pStyle w:val="Compact"/>
              <w:jc w:val="left"/>
            </w:pPr>
            <w:r>
              <w:t xml:space="preserve">Upon receipt of Building Permit from Tel Aviv Municipality</w:t>
            </w:r>
          </w:p>
        </w:tc>
        <w:tc>
          <w:tcPr/>
          <w:p>
            <w:pPr>
              <w:pStyle w:val="Compact"/>
              <w:jc w:val="left"/>
            </w:pPr>
            <w:r>
              <w:t xml:space="preserve">20%</w:t>
            </w:r>
          </w:p>
        </w:tc>
        <w:tc>
          <w:tcPr/>
          <w:p>
            <w:pPr>
              <w:pStyle w:val="Compact"/>
              <w:jc w:val="left"/>
            </w:pPr>
            <w:r>
              <w:t xml:space="preserve">116,348</w:t>
            </w:r>
          </w:p>
        </w:tc>
      </w:tr>
      <w:tr>
        <w:tc>
          <w:tcPr/>
          <w:p>
            <w:pPr>
              <w:pStyle w:val="Compact"/>
              <w:jc w:val="left"/>
            </w:pPr>
            <w:r>
              <w:t xml:space="preserve">Upon completion of Construction Supervision</w:t>
            </w:r>
          </w:p>
        </w:tc>
        <w:tc>
          <w:tcPr/>
          <w:p>
            <w:pPr>
              <w:pStyle w:val="Compact"/>
              <w:jc w:val="left"/>
            </w:pPr>
            <w:r>
              <w:t xml:space="preserve">20%</w:t>
            </w:r>
          </w:p>
        </w:tc>
        <w:tc>
          <w:tcPr/>
          <w:p>
            <w:pPr>
              <w:pStyle w:val="Compact"/>
              <w:jc w:val="left"/>
            </w:pPr>
            <w:r>
              <w:t xml:space="preserve">116,348</w:t>
            </w:r>
          </w:p>
        </w:tc>
      </w:tr>
    </w:tbl>
    <w:bookmarkEnd w:id="25"/>
    <w:bookmarkStart w:id="26" w:name="terms-and-conditions"/>
    <w:p>
      <w:pPr>
        <w:pStyle w:val="Heading3"/>
      </w:pPr>
      <w:r>
        <w:t xml:space="preserve">5. Terms and Conditions</w:t>
      </w:r>
    </w:p>
    <w:p>
      <w:pPr>
        <w:numPr>
          <w:ilvl w:val="0"/>
          <w:numId w:val="1001"/>
        </w:numPr>
        <w:pStyle w:val="Compact"/>
      </w:pPr>
      <w:r>
        <w:t xml:space="preserve">This</w:t>
      </w:r>
      <w:r>
        <w:t xml:space="preserve"> </w:t>
      </w:r>
      <w:r>
        <w:rPr>
          <w:bCs/>
          <w:b/>
        </w:rPr>
        <w:t xml:space="preserve">Quotation Estimate</w:t>
      </w:r>
      <w:r>
        <w:t xml:space="preserve"> </w:t>
      </w:r>
      <w:r>
        <w:t xml:space="preserve">is valid for thirty (30) calendar days from the date of issue. After this period, the</w:t>
      </w:r>
      <w:r>
        <w:t xml:space="preserve"> </w:t>
      </w:r>
      <w:r>
        <w:rPr>
          <w:bCs/>
          <w:b/>
        </w:rPr>
        <w:t xml:space="preserve">Architect</w:t>
      </w:r>
      <w:r>
        <w:t xml:space="preserve"> </w:t>
      </w:r>
      <w:r>
        <w:t xml:space="preserve">reserves the right to revise pricing due to market fluctuations in</w:t>
      </w:r>
      <w:r>
        <w:t xml:space="preserve"> </w:t>
      </w:r>
      <w:r>
        <w:rPr>
          <w:bCs/>
          <w:b/>
        </w:rPr>
        <w:t xml:space="preserve">Israel Tel Aviv</w:t>
      </w:r>
      <w:r>
        <w:t xml:space="preserve">.</w:t>
      </w:r>
    </w:p>
    <w:p>
      <w:pPr>
        <w:numPr>
          <w:ilvl w:val="0"/>
          <w:numId w:val="1001"/>
        </w:numPr>
        <w:pStyle w:val="Compact"/>
      </w:pPr>
      <w:r>
        <w:t xml:space="preserve">All services shall be performed in accordance with the Code of Ethics of the Israel Architects Association and the provisions of the Architects and Interior Designers Law, 5726-1966.</w:t>
      </w:r>
    </w:p>
    <w:p>
      <w:pPr>
        <w:numPr>
          <w:ilvl w:val="0"/>
          <w:numId w:val="1001"/>
        </w:numPr>
        <w:pStyle w:val="Compact"/>
      </w:pPr>
      <w:r>
        <w:t xml:space="preserve">The</w:t>
      </w:r>
      <w:r>
        <w:t xml:space="preserve"> </w:t>
      </w:r>
      <w:r>
        <w:rPr>
          <w:bCs/>
          <w:b/>
        </w:rPr>
        <w:t xml:space="preserve">Architect</w:t>
      </w:r>
      <w:r>
        <w:t xml:space="preserve"> </w:t>
      </w:r>
      <w:r>
        <w:t xml:space="preserve">shall carry professional indemnity insurance with a minimum coverage of 5,000,000 ILS, valid throughout the project duration in Tel Aviv.</w:t>
      </w:r>
    </w:p>
    <w:p>
      <w:pPr>
        <w:numPr>
          <w:ilvl w:val="0"/>
          <w:numId w:val="1001"/>
        </w:numPr>
        <w:pStyle w:val="Compact"/>
      </w:pPr>
      <w:r>
        <w:t xml:space="preserve">Any changes to the scope of work beyond 10% of the original design will require a revised</w:t>
      </w:r>
      <w:r>
        <w:t xml:space="preserve"> </w:t>
      </w:r>
      <w:r>
        <w:rPr>
          <w:bCs/>
          <w:b/>
        </w:rPr>
        <w:t xml:space="preserve">Quotation Estimate</w:t>
      </w:r>
      <w:r>
        <w:t xml:space="preserve"> </w:t>
      </w:r>
      <w:r>
        <w:t xml:space="preserve">and written client approval before additional work commences.</w:t>
      </w:r>
    </w:p>
    <w:p>
      <w:pPr>
        <w:numPr>
          <w:ilvl w:val="0"/>
          <w:numId w:val="1001"/>
        </w:numPr>
        <w:pStyle w:val="Compact"/>
      </w:pPr>
      <w:r>
        <w:t xml:space="preserve">All intellectual property rights in the design documents produced by the</w:t>
      </w:r>
      <w:r>
        <w:t xml:space="preserve"> </w:t>
      </w:r>
      <w:r>
        <w:rPr>
          <w:bCs/>
          <w:b/>
        </w:rPr>
        <w:t xml:space="preserve">Architect</w:t>
      </w:r>
      <w:r>
        <w:t xml:space="preserve"> </w:t>
      </w:r>
      <w:r>
        <w:t xml:space="preserve">shall remain with the firm until full payment is received. Upon final payment, the client receives a non-exclusive licence to use the drawings for the specific project in</w:t>
      </w:r>
      <w:r>
        <w:t xml:space="preserve"> </w:t>
      </w:r>
      <w:r>
        <w:rPr>
          <w:bCs/>
          <w:b/>
        </w:rPr>
        <w:t xml:space="preserve">Israel Tel Aviv</w:t>
      </w:r>
      <w:r>
        <w:t xml:space="preserve">.</w:t>
      </w:r>
    </w:p>
    <w:p>
      <w:pPr>
        <w:numPr>
          <w:ilvl w:val="0"/>
          <w:numId w:val="1001"/>
        </w:numPr>
        <w:pStyle w:val="Compact"/>
      </w:pPr>
      <w:r>
        <w:t xml:space="preserve">Disputes arising from this</w:t>
      </w:r>
      <w:r>
        <w:t xml:space="preserve"> </w:t>
      </w:r>
      <w:r>
        <w:rPr>
          <w:bCs/>
          <w:b/>
        </w:rPr>
        <w:t xml:space="preserve">Quotation Estimate</w:t>
      </w:r>
      <w:r>
        <w:t xml:space="preserve"> </w:t>
      </w:r>
      <w:r>
        <w:t xml:space="preserve">shall be resolved under the jurisdiction of the Tel Aviv District Court, Israel.</w:t>
      </w:r>
    </w:p>
    <w:p>
      <w:pPr>
        <w:numPr>
          <w:ilvl w:val="0"/>
          <w:numId w:val="1001"/>
        </w:numPr>
        <w:pStyle w:val="Compact"/>
      </w:pPr>
      <w:r>
        <w:t xml:space="preserve">The</w:t>
      </w:r>
      <w:r>
        <w:t xml:space="preserve"> </w:t>
      </w:r>
      <w:r>
        <w:rPr>
          <w:bCs/>
          <w:b/>
        </w:rPr>
        <w:t xml:space="preserve">Architect</w:t>
      </w:r>
      <w:r>
        <w:t xml:space="preserve"> </w:t>
      </w:r>
      <w:r>
        <w:t xml:space="preserve">is not responsible for delays caused by the Tel Aviv-Yafo Municipality planning committee, third-party contractors, or force majeure events.</w:t>
      </w:r>
    </w:p>
    <w:bookmarkEnd w:id="26"/>
    <w:p>
      <w:pPr>
        <w:pStyle w:val="FirstParagraph"/>
      </w:pPr>
      <w:r>
        <w:rPr>
          <w:bCs/>
          <w:b/>
        </w:rPr>
        <w:t xml:space="preserve">Note:</w:t>
      </w:r>
      <w:r>
        <w:t xml:space="preserve"> </w:t>
      </w:r>
      <w:r>
        <w:t xml:space="preserve">This</w:t>
      </w:r>
      <w:r>
        <w:t xml:space="preserve"> </w:t>
      </w:r>
      <w:r>
        <w:rPr>
          <w:bCs/>
          <w:b/>
        </w:rPr>
        <w:t xml:space="preserve">Quotation Estimate</w:t>
      </w:r>
      <w:r>
        <w:t xml:space="preserve"> </w:t>
      </w:r>
      <w:r>
        <w:t xml:space="preserve">does not include municipal fees, planning committee charges, surveyor fees, or any third-party consultant costs required by the Tel Aviv-Yafo Municipality. These will be billed at cost with a 5% administrative surcharge. The</w:t>
      </w:r>
      <w:r>
        <w:t xml:space="preserve"> </w:t>
      </w:r>
      <w:r>
        <w:rPr>
          <w:bCs/>
          <w:b/>
        </w:rPr>
        <w:t xml:space="preserve">Architect</w:t>
      </w:r>
      <w:r>
        <w:t xml:space="preserve"> </w:t>
      </w:r>
      <w:r>
        <w:t xml:space="preserve">will provide a detailed breakdown of all municipal fees upon request.</w:t>
      </w:r>
    </w:p>
    <w:bookmarkStart w:id="27" w:name="acceptance-and-authorization"/>
    <w:p>
      <w:pPr>
        <w:pStyle w:val="Heading3"/>
      </w:pPr>
      <w:r>
        <w:t xml:space="preserve">6. Acceptance and Authorization</w:t>
      </w:r>
    </w:p>
    <w:p>
      <w:pPr>
        <w:pStyle w:val="FirstParagraph"/>
      </w:pPr>
      <w:r>
        <w:t xml:space="preserve">By signing below, the client acknowledges and accepts this</w:t>
      </w:r>
      <w:r>
        <w:t xml:space="preserve"> </w:t>
      </w:r>
      <w:r>
        <w:rPr>
          <w:bCs/>
          <w:b/>
        </w:rPr>
        <w:t xml:space="preserve">Quotation Estimate</w:t>
      </w:r>
      <w:r>
        <w:t xml:space="preserve"> </w:t>
      </w:r>
      <w:r>
        <w:t xml:space="preserve">for</w:t>
      </w:r>
      <w:r>
        <w:t xml:space="preserve"> </w:t>
      </w:r>
      <w:r>
        <w:rPr>
          <w:bCs/>
          <w:b/>
        </w:rPr>
        <w:t xml:space="preserve">Architect</w:t>
      </w:r>
      <w:r>
        <w:t xml:space="preserve"> </w:t>
      </w:r>
      <w:r>
        <w:t xml:space="preserve">services in</w:t>
      </w:r>
      <w:r>
        <w:t xml:space="preserve"> </w:t>
      </w:r>
      <w:r>
        <w:rPr>
          <w:bCs/>
          <w:b/>
        </w:rPr>
        <w:t xml:space="preserve">Israel Tel Aviv</w:t>
      </w:r>
      <w:r>
        <w:t xml:space="preserve"> </w:t>
      </w:r>
      <w:r>
        <w:t xml:space="preserve">and agrees to all terms and conditions stated herein. This document constitutes a binding agreement upon countersignature by both parties.</w:t>
      </w:r>
    </w:p>
    <w:bookmarkEnd w:id="27"/>
    <w:p>
      <w:pPr>
        <w:pStyle w:val="BodyText"/>
      </w:pPr>
      <w:r>
        <w:rPr>
          <w:bCs/>
          <w:b/>
        </w:rPr>
        <w:t xml:space="preserve">For the Architect Firm</w:t>
      </w:r>
      <w:r>
        <w:br/>
      </w:r>
      <w:r>
        <w:t xml:space="preserve">Levant Design &amp; Build Architects Ltd.</w:t>
      </w:r>
      <w:r>
        <w:br/>
      </w:r>
      <w:r>
        <w:t xml:space="preserve">Name: Arch. Miriam Cohen, RIBA, IAI</w:t>
      </w:r>
      <w:r>
        <w:br/>
      </w:r>
      <w:r>
        <w:t xml:space="preserve">Date: _______________</w:t>
      </w:r>
    </w:p>
    <w:p>
      <w:pPr>
        <w:pStyle w:val="BodyText"/>
      </w:pPr>
      <w:r>
        <w:rPr>
          <w:bCs/>
          <w:b/>
        </w:rPr>
        <w:t xml:space="preserve">For the Client</w:t>
      </w:r>
      <w:r>
        <w:br/>
      </w:r>
      <w:r>
        <w:t xml:space="preserve">Mr. David Ben-Ari</w:t>
      </w:r>
      <w:r>
        <w:br/>
      </w:r>
      <w:r>
        <w:t xml:space="preserve">ID No.: _______________</w:t>
      </w:r>
      <w:r>
        <w:br/>
      </w:r>
      <w:r>
        <w:t xml:space="preserve">Date: _______________</w:t>
      </w:r>
    </w:p>
    <w:p>
      <w:pPr>
        <w:pStyle w:val="BodyText"/>
      </w:pPr>
      <w:r>
        <w:rPr>
          <w:bCs/>
          <w:b/>
        </w:rPr>
        <w:t xml:space="preserve">Levant Design &amp; Build Architects Ltd.</w:t>
      </w:r>
      <w:r>
        <w:t xml:space="preserve"> </w:t>
      </w:r>
      <w:r>
        <w:t xml:space="preserve">| 42 Dizengoff Street, Tel Aviv-Yafo, Israel 63500 | Tel: +972-3-623-4567 | Email: info@levantarch.co.il</w:t>
      </w:r>
    </w:p>
    <w:p>
      <w:pPr>
        <w:pStyle w:val="BodyText"/>
      </w:pPr>
      <w:r>
        <w:t xml:space="preserve">Registered in Israel under Company No. 51-789-432 | VAT No. 50-045-6789 | Member of the Israel Architects Association (IAI)</w:t>
      </w:r>
    </w:p>
    <w:p>
      <w:pPr>
        <w:pStyle w:val="BodyText"/>
      </w:pPr>
      <w:r>
        <w:t xml:space="preserve">This</w:t>
      </w:r>
      <w:r>
        <w:t xml:space="preserve"> </w:t>
      </w:r>
      <w:r>
        <w:rPr>
          <w:bCs/>
          <w:b/>
        </w:rPr>
        <w:t xml:space="preserve">Quotation Estimate</w:t>
      </w:r>
      <w:r>
        <w:t xml:space="preserve"> </w:t>
      </w:r>
      <w:r>
        <w:t xml:space="preserve">document is generated for the specific project in</w:t>
      </w:r>
      <w:r>
        <w:t xml:space="preserve"> </w:t>
      </w:r>
      <w:r>
        <w:rPr>
          <w:bCs/>
          <w:b/>
        </w:rPr>
        <w:t xml:space="preserve">Israel Tel Aviv</w:t>
      </w:r>
      <w:r>
        <w:t xml:space="preserve"> </w:t>
      </w:r>
      <w:r>
        <w:t xml:space="preserve">and is non-transferable. All</w:t>
      </w:r>
      <w:r>
        <w:t xml:space="preserve"> </w:t>
      </w:r>
      <w:r>
        <w:rPr>
          <w:bCs/>
          <w:b/>
        </w:rPr>
        <w:t xml:space="preserve">Architect</w:t>
      </w:r>
      <w:r>
        <w:t xml:space="preserve"> </w:t>
      </w:r>
      <w:r>
        <w:t xml:space="preserve">services are subject to the terms outlined herein.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Architect Services - Israel Tel Aviv</dc:title>
  <dc:creator/>
  <dc:language>en</dc:language>
  <cp:keywords/>
  <dcterms:created xsi:type="dcterms:W3CDTF">2026-10-10T02:33:13Z</dcterms:created>
  <dcterms:modified xsi:type="dcterms:W3CDTF">2026-10-10T02:33:13Z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