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Architect Services — Italy Naples</w:t>
      </w:r>
    </w:p>
    <w:p>
      <w:pPr>
        <w:pStyle w:val="BodyText"/>
      </w:pPr>
      <w:r>
        <w:t xml:space="preserve">Studio Architettonico Vesuvio S.r.l. | Via Toledo 245, 80132 Naples (NA), Italy</w:t>
      </w:r>
    </w:p>
    <w:p>
      <w:pPr>
        <w:pStyle w:val="BodyText"/>
      </w:pPr>
      <w:r>
        <w:t xml:space="preserve">VAT No. (P.IVA): 08765432109 | Chamber of Commerce of Naples: REA NA-1234567</w:t>
      </w:r>
    </w:p>
    <w:bookmarkEnd w:id="20"/>
    <w:p>
      <w:pPr>
        <w:pStyle w:val="BodyText"/>
      </w:pPr>
      <w:r>
        <w:rPr>
          <w:bCs/>
          <w:b/>
        </w:rPr>
        <w:t xml:space="preserve">Quotation Estimate No.:</w:t>
      </w:r>
      <w:r>
        <w:t xml:space="preserve"> </w:t>
      </w:r>
      <w:r>
        <w:t xml:space="preserve">QE-2025-NAP-0487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Arch. Maria Concetta Ferraro</w:t>
      </w:r>
      <w:r>
        <w:br/>
      </w:r>
      <w:r>
        <w:rPr>
          <w:bCs/>
          <w:b/>
        </w:rPr>
        <w:t xml:space="preserve">Registration:</w:t>
      </w:r>
      <w:r>
        <w:t xml:space="preserve"> </w:t>
      </w:r>
      <w:r>
        <w:t xml:space="preserve">Order of Architects of Naples, No. 4521</w:t>
      </w:r>
      <w:r>
        <w:br/>
      </w:r>
      <w:r>
        <w:rPr>
          <w:bCs/>
          <w:b/>
        </w:rPr>
        <w:t xml:space="preserve">Contact:</w:t>
      </w:r>
      <w:r>
        <w:t xml:space="preserve"> </w:t>
      </w:r>
      <w:r>
        <w:t xml:space="preserve">m.ferraro@studiovesuvio.it</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Signor Alessandro De Luca</w:t>
            </w:r>
          </w:p>
        </w:tc>
      </w:tr>
      <w:tr>
        <w:tc>
          <w:tcPr/>
          <w:p>
            <w:pPr>
              <w:pStyle w:val="Compact"/>
              <w:jc w:val="left"/>
            </w:pPr>
            <w:r>
              <w:t xml:space="preserve">Address</w:t>
            </w:r>
          </w:p>
        </w:tc>
        <w:tc>
          <w:tcPr/>
          <w:p>
            <w:pPr>
              <w:pStyle w:val="Compact"/>
              <w:jc w:val="left"/>
            </w:pPr>
            <w:r>
              <w:t xml:space="preserve">Via Chiaia 112, 80121 Naples (NA), Italy</w:t>
            </w:r>
          </w:p>
        </w:tc>
      </w:tr>
      <w:tr>
        <w:tc>
          <w:tcPr/>
          <w:p>
            <w:pPr>
              <w:pStyle w:val="Compact"/>
              <w:jc w:val="left"/>
            </w:pPr>
            <w:r>
              <w:t xml:space="preserve">Project Location</w:t>
            </w:r>
          </w:p>
        </w:tc>
        <w:tc>
          <w:tcPr/>
          <w:p>
            <w:pPr>
              <w:pStyle w:val="Compact"/>
              <w:jc w:val="left"/>
            </w:pPr>
            <w:r>
              <w:t xml:space="preserve">Via dei Tribunali 89, 80138 Naples (NA), Italy</w:t>
            </w:r>
          </w:p>
        </w:tc>
      </w:tr>
      <w:tr>
        <w:tc>
          <w:tcPr/>
          <w:p>
            <w:pPr>
              <w:pStyle w:val="Compact"/>
              <w:jc w:val="left"/>
            </w:pPr>
            <w:r>
              <w:t xml:space="preserve">Property Type</w:t>
            </w:r>
          </w:p>
        </w:tc>
        <w:tc>
          <w:tcPr/>
          <w:p>
            <w:pPr>
              <w:pStyle w:val="Compact"/>
              <w:jc w:val="left"/>
            </w:pPr>
            <w:r>
              <w:t xml:space="preserve">Historic residential building (19th century), 3 floors, approx. 420 sqm</w:t>
            </w:r>
          </w:p>
        </w:tc>
      </w:tr>
    </w:tbl>
    <w:bookmarkEnd w:id="21"/>
    <w:bookmarkStart w:id="22" w:name="scope-of-architect-services"/>
    <w:p>
      <w:pPr>
        <w:pStyle w:val="Heading2"/>
      </w:pPr>
      <w:r>
        <w:t xml:space="preserve">2. Scope of Architect Services</w:t>
      </w:r>
    </w:p>
    <w:p>
      <w:pPr>
        <w:pStyle w:val="FirstParagraph"/>
      </w:pPr>
      <w:r>
        <w:t xml:space="preserve">This</w:t>
      </w:r>
      <w:r>
        <w:t xml:space="preserve"> </w:t>
      </w:r>
      <w:r>
        <w:t xml:space="preserve">Quotation Estimate</w:t>
      </w:r>
      <w:r>
        <w:t xml:space="preserve"> </w:t>
      </w:r>
      <w:r>
        <w:t xml:space="preserve">is issued by Studio Architettonico Vesuvio S.r.l. to provide a comprehensive breakdown of professional</w:t>
      </w:r>
      <w:r>
        <w:t xml:space="preserve"> </w:t>
      </w:r>
      <w:r>
        <w:t xml:space="preserve">Architect</w:t>
      </w:r>
      <w:r>
        <w:t xml:space="preserve"> </w:t>
      </w:r>
      <w:r>
        <w:t xml:space="preserve">fees for the full renovation and structural adaptation of the aforementioned property located in the historic centre of</w:t>
      </w:r>
      <w:r>
        <w:t xml:space="preserve"> </w:t>
      </w:r>
      <w:r>
        <w:t xml:space="preserve">Italy Naples</w:t>
      </w:r>
      <w:r>
        <w:t xml:space="preserve">. The</w:t>
      </w:r>
      <w:r>
        <w:t xml:space="preserve"> </w:t>
      </w:r>
      <w:r>
        <w:t xml:space="preserve">Architect</w:t>
      </w:r>
      <w:r>
        <w:t xml:space="preserve"> </w:t>
      </w:r>
      <w:r>
        <w:t xml:space="preserve">will oversee all phases of the project in strict compliance with the regulations of the Comune di Napoli, the Soprintendenza per i Beni Architettonici e Paesaggistici di Napoli, and the national building code (D.P.R. 380/2001 — Testo Unico dell'Edilizia).</w:t>
      </w:r>
    </w:p>
    <w:p>
      <w:pPr>
        <w:pStyle w:val="BodyText"/>
      </w:pPr>
      <w:r>
        <w:t xml:space="preserve">The services rendered by the</w:t>
      </w:r>
      <w:r>
        <w:t xml:space="preserve"> </w:t>
      </w:r>
      <w:r>
        <w:t xml:space="preserve">Architect</w:t>
      </w:r>
      <w:r>
        <w:t xml:space="preserve"> </w:t>
      </w:r>
      <w:r>
        <w:t xml:space="preserve">in</w:t>
      </w:r>
      <w:r>
        <w:t xml:space="preserve"> </w:t>
      </w:r>
      <w:r>
        <w:t xml:space="preserve">Italy Naples</w:t>
      </w:r>
      <w:r>
        <w:t xml:space="preserve"> </w:t>
      </w:r>
      <w:r>
        <w:t xml:space="preserve">encompass the following phases:</w:t>
      </w:r>
    </w:p>
    <w:p>
      <w:pPr>
        <w:numPr>
          <w:ilvl w:val="0"/>
          <w:numId w:val="1001"/>
        </w:numPr>
        <w:pStyle w:val="Compact"/>
      </w:pPr>
      <w:r>
        <w:rPr>
          <w:bCs/>
          <w:b/>
        </w:rPr>
        <w:t xml:space="preserve">Feasibility Study &amp; Preliminary Design:</w:t>
      </w:r>
      <w:r>
        <w:t xml:space="preserve"> </w:t>
      </w:r>
      <w:r>
        <w:t xml:space="preserve">Site survey, topographic analysis, historical-architectural assessment of the building, and preparation of a preliminary design concept respecting the neoclassical façade typical of the Naples historic quarter.</w:t>
      </w:r>
    </w:p>
    <w:p>
      <w:pPr>
        <w:numPr>
          <w:ilvl w:val="0"/>
          <w:numId w:val="1001"/>
        </w:numPr>
        <w:pStyle w:val="Compact"/>
      </w:pPr>
      <w:r>
        <w:rPr>
          <w:bCs/>
          <w:b/>
        </w:rPr>
        <w:t xml:space="preserve">Definitive Design (Progetto Definitivo):</w:t>
      </w:r>
      <w:r>
        <w:t xml:space="preserve"> </w:t>
      </w:r>
      <w:r>
        <w:t xml:space="preserve">Detailed architectural drawings, structural calculations, energy performance certification (APE), and preparation of the complete documentation package required for the building permit (Permesso di Costruire) at the SUAP of the Comune di Napoli.</w:t>
      </w:r>
    </w:p>
    <w:p>
      <w:pPr>
        <w:numPr>
          <w:ilvl w:val="0"/>
          <w:numId w:val="1001"/>
        </w:numPr>
        <w:pStyle w:val="Compact"/>
      </w:pPr>
      <w:r>
        <w:rPr>
          <w:bCs/>
          <w:b/>
        </w:rPr>
        <w:t xml:space="preserve">Executive Design (Progetto Esecutivo):</w:t>
      </w:r>
      <w:r>
        <w:t xml:space="preserve"> </w:t>
      </w:r>
      <w:r>
        <w:t xml:space="preserve">Construction-ready drawings, material specifications, and coordination with specialist consultants (structural engineer, MEP engineer, landscape architect).</w:t>
      </w:r>
    </w:p>
    <w:p>
      <w:pPr>
        <w:numPr>
          <w:ilvl w:val="0"/>
          <w:numId w:val="1001"/>
        </w:numPr>
        <w:pStyle w:val="Compact"/>
      </w:pPr>
      <w:r>
        <w:rPr>
          <w:bCs/>
          <w:b/>
        </w:rPr>
        <w:t xml:space="preserve">Tender Documentation &amp; Contractor Selection:</w:t>
      </w:r>
      <w:r>
        <w:t xml:space="preserve"> </w:t>
      </w:r>
      <w:r>
        <w:t xml:space="preserve">Preparation of the capitolato d'appalto, BQ (Bill of Quantities), and support in the selection of the general contractor.</w:t>
      </w:r>
    </w:p>
    <w:p>
      <w:pPr>
        <w:numPr>
          <w:ilvl w:val="0"/>
          <w:numId w:val="1001"/>
        </w:numPr>
        <w:pStyle w:val="Compact"/>
      </w:pPr>
      <w:r>
        <w:rPr>
          <w:bCs/>
          <w:b/>
        </w:rPr>
        <w:t xml:space="preserve">Site Supervision (Direzione Lavori):</w:t>
      </w:r>
      <w:r>
        <w:t xml:space="preserve"> </w:t>
      </w:r>
      <w:r>
        <w:t xml:space="preserve">Weekly on-site inspections, progress reporting, quality control, and coordination with the construction team throughout the duration of works in Naples.</w:t>
      </w:r>
    </w:p>
    <w:p>
      <w:pPr>
        <w:numPr>
          <w:ilvl w:val="0"/>
          <w:numId w:val="1001"/>
        </w:numPr>
        <w:pStyle w:val="Compact"/>
      </w:pPr>
      <w:r>
        <w:rPr>
          <w:bCs/>
          <w:b/>
        </w:rPr>
        <w:t xml:space="preserve">Final Certification (Collaudo):</w:t>
      </w:r>
      <w:r>
        <w:t xml:space="preserve"> </w:t>
      </w:r>
      <w:r>
        <w:t xml:space="preserve">Verification of completed works, preparation of the as-built documentation, and submission of the fine lavori to the municipal authorities of Naples.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 / 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Feasibility Study &amp; Preliminary Design (Architect)</w:t>
            </w:r>
          </w:p>
        </w:tc>
        <w:tc>
          <w:tcPr/>
          <w:p>
            <w:pPr>
              <w:pStyle w:val="Compact"/>
              <w:jc w:val="left"/>
            </w:pPr>
            <w:r>
              <w:t xml:space="preserve">6 weeks</w:t>
            </w:r>
          </w:p>
        </w:tc>
        <w:tc>
          <w:tcPr/>
          <w:p>
            <w:pPr>
              <w:pStyle w:val="Compact"/>
              <w:jc w:val="left"/>
            </w:pPr>
            <w:r>
              <w:t xml:space="preserve">€ 8,500.00</w:t>
            </w:r>
          </w:p>
        </w:tc>
      </w:tr>
      <w:tr>
        <w:tc>
          <w:tcPr/>
          <w:p>
            <w:pPr>
              <w:pStyle w:val="Compact"/>
              <w:jc w:val="left"/>
            </w:pPr>
            <w:r>
              <w:t xml:space="preserve">02</w:t>
            </w:r>
          </w:p>
        </w:tc>
        <w:tc>
          <w:tcPr/>
          <w:p>
            <w:pPr>
              <w:pStyle w:val="Compact"/>
              <w:jc w:val="left"/>
            </w:pPr>
            <w:r>
              <w:t xml:space="preserve">Definitive Design &amp; Permit Application (Architect)</w:t>
            </w:r>
          </w:p>
        </w:tc>
        <w:tc>
          <w:tcPr/>
          <w:p>
            <w:pPr>
              <w:pStyle w:val="Compact"/>
              <w:jc w:val="left"/>
            </w:pPr>
            <w:r>
              <w:t xml:space="preserve">10 weeks</w:t>
            </w:r>
          </w:p>
        </w:tc>
        <w:tc>
          <w:tcPr/>
          <w:p>
            <w:pPr>
              <w:pStyle w:val="Compact"/>
              <w:jc w:val="left"/>
            </w:pPr>
            <w:r>
              <w:t xml:space="preserve">€ 14,200.00</w:t>
            </w:r>
          </w:p>
        </w:tc>
      </w:tr>
      <w:tr>
        <w:tc>
          <w:tcPr/>
          <w:p>
            <w:pPr>
              <w:pStyle w:val="Compact"/>
              <w:jc w:val="left"/>
            </w:pPr>
            <w:r>
              <w:t xml:space="preserve">03</w:t>
            </w:r>
          </w:p>
        </w:tc>
        <w:tc>
          <w:tcPr/>
          <w:p>
            <w:pPr>
              <w:pStyle w:val="Compact"/>
              <w:jc w:val="left"/>
            </w:pPr>
            <w:r>
              <w:t xml:space="preserve">Executive Design &amp; Specialist Coordination (Architect)</w:t>
            </w:r>
          </w:p>
        </w:tc>
        <w:tc>
          <w:tcPr/>
          <w:p>
            <w:pPr>
              <w:pStyle w:val="Compact"/>
              <w:jc w:val="left"/>
            </w:pPr>
            <w:r>
              <w:t xml:space="preserve">8 weeks</w:t>
            </w:r>
          </w:p>
        </w:tc>
        <w:tc>
          <w:tcPr/>
          <w:p>
            <w:pPr>
              <w:pStyle w:val="Compact"/>
              <w:jc w:val="left"/>
            </w:pPr>
            <w:r>
              <w:t xml:space="preserve">€ 11,800.00</w:t>
            </w:r>
          </w:p>
        </w:tc>
      </w:tr>
      <w:tr>
        <w:tc>
          <w:tcPr/>
          <w:p>
            <w:pPr>
              <w:pStyle w:val="Compact"/>
              <w:jc w:val="left"/>
            </w:pPr>
            <w:r>
              <w:t xml:space="preserve">04</w:t>
            </w:r>
          </w:p>
        </w:tc>
        <w:tc>
          <w:tcPr/>
          <w:p>
            <w:pPr>
              <w:pStyle w:val="Compact"/>
              <w:jc w:val="left"/>
            </w:pPr>
            <w:r>
              <w:t xml:space="preserve">Tender Documentation &amp; BQ Preparation (Architect)</w:t>
            </w:r>
          </w:p>
        </w:tc>
        <w:tc>
          <w:tcPr/>
          <w:p>
            <w:pPr>
              <w:pStyle w:val="Compact"/>
              <w:jc w:val="left"/>
            </w:pPr>
            <w:r>
              <w:t xml:space="preserve">4 weeks</w:t>
            </w:r>
          </w:p>
        </w:tc>
        <w:tc>
          <w:tcPr/>
          <w:p>
            <w:pPr>
              <w:pStyle w:val="Compact"/>
              <w:jc w:val="left"/>
            </w:pPr>
            <w:r>
              <w:t xml:space="preserve">€ 5,400.00</w:t>
            </w:r>
          </w:p>
        </w:tc>
      </w:tr>
      <w:tr>
        <w:tc>
          <w:tcPr/>
          <w:p>
            <w:pPr>
              <w:pStyle w:val="Compact"/>
              <w:jc w:val="left"/>
            </w:pPr>
            <w:r>
              <w:t xml:space="preserve">05</w:t>
            </w:r>
          </w:p>
        </w:tc>
        <w:tc>
          <w:tcPr/>
          <w:p>
            <w:pPr>
              <w:pStyle w:val="Compact"/>
              <w:jc w:val="left"/>
            </w:pPr>
            <w:r>
              <w:t xml:space="preserve">Site Supervision &amp; Direction of Works (Architect)</w:t>
            </w:r>
          </w:p>
        </w:tc>
        <w:tc>
          <w:tcPr/>
          <w:p>
            <w:pPr>
              <w:pStyle w:val="Compact"/>
              <w:jc w:val="left"/>
            </w:pPr>
            <w:r>
              <w:t xml:space="preserve">14 months</w:t>
            </w:r>
          </w:p>
        </w:tc>
        <w:tc>
          <w:tcPr/>
          <w:p>
            <w:pPr>
              <w:pStyle w:val="Compact"/>
              <w:jc w:val="left"/>
            </w:pPr>
            <w:r>
              <w:t xml:space="preserve">€ 22,600.00</w:t>
            </w:r>
          </w:p>
        </w:tc>
      </w:tr>
      <w:tr>
        <w:tc>
          <w:tcPr/>
          <w:p>
            <w:pPr>
              <w:pStyle w:val="Compact"/>
              <w:jc w:val="left"/>
            </w:pPr>
            <w:r>
              <w:t xml:space="preserve">06</w:t>
            </w:r>
          </w:p>
        </w:tc>
        <w:tc>
          <w:tcPr/>
          <w:p>
            <w:pPr>
              <w:pStyle w:val="Compact"/>
              <w:jc w:val="left"/>
            </w:pPr>
            <w:r>
              <w:t xml:space="preserve">Final Certification &amp; As-Built Documentation (Architect)</w:t>
            </w:r>
          </w:p>
        </w:tc>
        <w:tc>
          <w:tcPr/>
          <w:p>
            <w:pPr>
              <w:pStyle w:val="Compact"/>
              <w:jc w:val="left"/>
            </w:pPr>
            <w:r>
              <w:t xml:space="preserve">6 weeks</w:t>
            </w:r>
          </w:p>
        </w:tc>
        <w:tc>
          <w:tcPr/>
          <w:p>
            <w:pPr>
              <w:pStyle w:val="Compact"/>
              <w:jc w:val="left"/>
            </w:pPr>
            <w:r>
              <w:t xml:space="preserve">€ 4,800.00</w:t>
            </w:r>
          </w:p>
        </w:tc>
      </w:tr>
      <w:tr>
        <w:tc>
          <w:tcPr/>
          <w:p>
            <w:pPr>
              <w:pStyle w:val="Compact"/>
              <w:jc w:val="left"/>
            </w:pPr>
            <w:r>
              <w:t xml:space="preserve">07</w:t>
            </w:r>
          </w:p>
        </w:tc>
        <w:tc>
          <w:tcPr/>
          <w:p>
            <w:pPr>
              <w:pStyle w:val="Compact"/>
              <w:jc w:val="left"/>
            </w:pPr>
            <w:r>
              <w:t xml:space="preserve">Energy Performance Certificate (APE) &amp; Compliance Reports</w:t>
            </w:r>
          </w:p>
        </w:tc>
        <w:tc>
          <w:tcPr/>
          <w:p>
            <w:pPr>
              <w:pStyle w:val="Compact"/>
              <w:jc w:val="left"/>
            </w:pPr>
            <w:r>
              <w:t xml:space="preserve">1 lot</w:t>
            </w:r>
          </w:p>
        </w:tc>
        <w:tc>
          <w:tcPr/>
          <w:p>
            <w:pPr>
              <w:pStyle w:val="Compact"/>
              <w:jc w:val="left"/>
            </w:pPr>
            <w:r>
              <w:t xml:space="preserve">€ 1,200.00</w:t>
            </w:r>
          </w:p>
        </w:tc>
      </w:tr>
      <w:tr>
        <w:tc>
          <w:tcPr/>
          <w:p>
            <w:pPr>
              <w:pStyle w:val="Compact"/>
              <w:jc w:val="left"/>
            </w:pPr>
            <w:r>
              <w:t xml:space="preserve">08</w:t>
            </w:r>
          </w:p>
        </w:tc>
        <w:tc>
          <w:tcPr/>
          <w:p>
            <w:pPr>
              <w:pStyle w:val="Compact"/>
              <w:jc w:val="left"/>
            </w:pPr>
            <w:r>
              <w:t xml:space="preserve">Administrative fees, stamps, and SUAP submissions (Naples)</w:t>
            </w:r>
          </w:p>
        </w:tc>
        <w:tc>
          <w:tcPr/>
          <w:p>
            <w:pPr>
              <w:pStyle w:val="Compact"/>
              <w:jc w:val="left"/>
            </w:pPr>
            <w:r>
              <w:t xml:space="preserve">1 lot</w:t>
            </w:r>
          </w:p>
        </w:tc>
        <w:tc>
          <w:tcPr/>
          <w:p>
            <w:pPr>
              <w:pStyle w:val="Compact"/>
              <w:jc w:val="left"/>
            </w:pPr>
            <w:r>
              <w:t xml:space="preserve">€ 950.00</w:t>
            </w:r>
          </w:p>
        </w:tc>
      </w:tr>
      <w:tr>
        <w:tc>
          <w:tcPr/>
          <w:p>
            <w:pPr>
              <w:pStyle w:val="Compact"/>
              <w:jc w:val="left"/>
            </w:pPr>
            <w:r>
              <w:t xml:space="preserve">09</w:t>
            </w:r>
          </w:p>
        </w:tc>
        <w:tc>
          <w:tcPr/>
          <w:p>
            <w:pPr>
              <w:pStyle w:val="Compact"/>
              <w:jc w:val="left"/>
            </w:pPr>
            <w:r>
              <w:t xml:space="preserve">Photogrammetric survey &amp; 3D BIM modelling of existing structure</w:t>
            </w:r>
          </w:p>
        </w:tc>
        <w:tc>
          <w:tcPr/>
          <w:p>
            <w:pPr>
              <w:pStyle w:val="Compact"/>
              <w:jc w:val="left"/>
            </w:pPr>
            <w:r>
              <w:t xml:space="preserve">1 lot</w:t>
            </w:r>
          </w:p>
        </w:tc>
        <w:tc>
          <w:tcPr/>
          <w:p>
            <w:pPr>
              <w:pStyle w:val="Compact"/>
              <w:jc w:val="left"/>
            </w:pPr>
            <w:r>
              <w:t xml:space="preserve">€ 3,600.00</w:t>
            </w:r>
          </w:p>
        </w:tc>
      </w:tr>
      <w:tr>
        <w:tc>
          <w:tcPr>
            <w:gridSpan w:val="3"/>
          </w:tcPr>
          <w:p>
            <w:pPr>
              <w:pStyle w:val="Compact"/>
              <w:jc w:val="left"/>
            </w:pPr>
            <w:r>
              <w:t xml:space="preserve">Subtotal (excl. VAT)</w:t>
            </w:r>
          </w:p>
        </w:tc>
        <w:tc>
          <w:tcPr/>
          <w:p>
            <w:pPr>
              <w:pStyle w:val="Compact"/>
              <w:jc w:val="left"/>
            </w:pPr>
            <w:r>
              <w:t xml:space="preserve">€ 73,050.00</w:t>
            </w:r>
          </w:p>
        </w:tc>
      </w:tr>
      <w:tr>
        <w:tc>
          <w:tcPr>
            <w:gridSpan w:val="3"/>
          </w:tcPr>
          <w:p>
            <w:pPr>
              <w:pStyle w:val="Compact"/>
              <w:jc w:val="left"/>
            </w:pPr>
            <w:r>
              <w:t xml:space="preserve">VAT (22% — Italian standard rate)</w:t>
            </w:r>
          </w:p>
        </w:tc>
        <w:tc>
          <w:tcPr/>
          <w:p>
            <w:pPr>
              <w:pStyle w:val="Compact"/>
              <w:jc w:val="left"/>
            </w:pPr>
            <w:r>
              <w:t xml:space="preserve">€ 16,071.00</w:t>
            </w:r>
          </w:p>
        </w:tc>
      </w:tr>
      <w:tr>
        <w:tc>
          <w:tcPr>
            <w:gridSpan w:val="3"/>
          </w:tcPr>
          <w:p>
            <w:pPr>
              <w:pStyle w:val="Compact"/>
              <w:jc w:val="left"/>
            </w:pPr>
            <w:r>
              <w:rPr>
                <w:bCs/>
                <w:b/>
              </w:rPr>
              <w:t xml:space="preserve">TOTAL QUOTATION ESTIMATE (incl. VAT)</w:t>
            </w:r>
          </w:p>
        </w:tc>
        <w:tc>
          <w:tcPr/>
          <w:p>
            <w:pPr>
              <w:pStyle w:val="Compact"/>
              <w:jc w:val="left"/>
            </w:pPr>
            <w:r>
              <w:rPr>
                <w:bCs/>
                <w:b/>
              </w:rPr>
              <w:t xml:space="preserve">€ 89,121.00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Italy Naples</w:t>
      </w:r>
      <w:r>
        <w:t xml:space="preserve"> </w:t>
      </w:r>
      <w:r>
        <w:t xml:space="preserve">shall be settled according to the following milestone-based payment plan:</w:t>
      </w:r>
    </w:p>
    <w:p>
      <w:pPr>
        <w:numPr>
          <w:ilvl w:val="0"/>
          <w:numId w:val="1002"/>
        </w:numPr>
        <w:pStyle w:val="Compact"/>
      </w:pPr>
      <w:r>
        <w:rPr>
          <w:bCs/>
          <w:b/>
        </w:rPr>
        <w:t xml:space="preserve">20%</w:t>
      </w:r>
      <w:r>
        <w:t xml:space="preserve"> </w:t>
      </w:r>
      <w:r>
        <w:t xml:space="preserve">upon signing of the professional services contract (€ 17,824.20 incl. VAT)</w:t>
      </w:r>
    </w:p>
    <w:p>
      <w:pPr>
        <w:numPr>
          <w:ilvl w:val="0"/>
          <w:numId w:val="1002"/>
        </w:numPr>
        <w:pStyle w:val="Compact"/>
      </w:pPr>
      <w:r>
        <w:rPr>
          <w:bCs/>
          <w:b/>
        </w:rPr>
        <w:t xml:space="preserve">25%</w:t>
      </w:r>
      <w:r>
        <w:t xml:space="preserve"> </w:t>
      </w:r>
      <w:r>
        <w:t xml:space="preserve">upon approval of the Definitive Design by the Comune di Napoli (€ 22,280.25 incl. VAT)</w:t>
      </w:r>
    </w:p>
    <w:p>
      <w:pPr>
        <w:numPr>
          <w:ilvl w:val="0"/>
          <w:numId w:val="1002"/>
        </w:numPr>
        <w:pStyle w:val="Compact"/>
      </w:pPr>
      <w:r>
        <w:rPr>
          <w:bCs/>
          <w:b/>
        </w:rPr>
        <w:t xml:space="preserve">30%</w:t>
      </w:r>
      <w:r>
        <w:t xml:space="preserve"> </w:t>
      </w:r>
      <w:r>
        <w:t xml:space="preserve">upon commencement of on-site works and completion of Executive Design (€ 26,736.30 incl. VAT)</w:t>
      </w:r>
    </w:p>
    <w:p>
      <w:pPr>
        <w:numPr>
          <w:ilvl w:val="0"/>
          <w:numId w:val="1002"/>
        </w:numPr>
        <w:pStyle w:val="Compact"/>
      </w:pPr>
      <w:r>
        <w:rPr>
          <w:bCs/>
          <w:b/>
        </w:rPr>
        <w:t xml:space="preserve">15%</w:t>
      </w:r>
      <w:r>
        <w:t xml:space="preserve"> </w:t>
      </w:r>
      <w:r>
        <w:t xml:space="preserve">at the midpoint of the construction phase (€ 13,368.15 incl. VAT)</w:t>
      </w:r>
    </w:p>
    <w:p>
      <w:pPr>
        <w:numPr>
          <w:ilvl w:val="0"/>
          <w:numId w:val="1002"/>
        </w:numPr>
        <w:pStyle w:val="Compact"/>
      </w:pPr>
      <w:r>
        <w:rPr>
          <w:bCs/>
          <w:b/>
        </w:rPr>
        <w:t xml:space="preserve">10%</w:t>
      </w:r>
      <w:r>
        <w:t xml:space="preserve"> </w:t>
      </w:r>
      <w:r>
        <w:t xml:space="preserve">upon delivery of the Collaudo and final as-built documentation (€ 8,912.10 incl. VAT)</w:t>
      </w:r>
    </w:p>
    <w:bookmarkEnd w:id="24"/>
    <w:bookmarkStart w:id="25" w:name="terms-conditions"/>
    <w:p>
      <w:pPr>
        <w:pStyle w:val="Heading2"/>
      </w:pPr>
      <w:r>
        <w:t xml:space="preserve">5. Terms &amp; Conditions</w:t>
      </w:r>
    </w:p>
    <w:p>
      <w:pPr>
        <w:pStyle w:val="FirstParagraph"/>
      </w:pPr>
      <w:r>
        <w:t xml:space="preserve">5.1 This</w:t>
      </w:r>
      <w:r>
        <w:t xml:space="preserve"> </w:t>
      </w:r>
      <w:r>
        <w:t xml:space="preserve">Quotation Estimate</w:t>
      </w:r>
      <w:r>
        <w:t xml:space="preserve"> </w:t>
      </w:r>
      <w:r>
        <w:t xml:space="preserve">is valid for a period of ninety (90) calendar days from the date of issue. After this period, the</w:t>
      </w:r>
      <w:r>
        <w:t xml:space="preserve"> </w:t>
      </w:r>
      <w:r>
        <w:t xml:space="preserve">Architect</w:t>
      </w:r>
      <w:r>
        <w:t xml:space="preserve"> </w:t>
      </w:r>
      <w:r>
        <w:t xml:space="preserve">reserves the right to revise the fees to reflect any changes in material costs, labour rates, or regulatory requirements applicable in</w:t>
      </w:r>
      <w:r>
        <w:t xml:space="preserve"> </w:t>
      </w:r>
      <w:r>
        <w:t xml:space="preserve">Italy Naples</w:t>
      </w:r>
      <w:r>
        <w:t xml:space="preserve">.</w:t>
      </w:r>
    </w:p>
    <w:p>
      <w:pPr>
        <w:pStyle w:val="BodyText"/>
      </w:pPr>
      <w:r>
        <w:t xml:space="preserve">5.2 All fees quoted are exclusive of travel expenses beyond the city limits of Naples (within a 50 km radius, travel is included). Any site visits to locations outside this radius will be billed at € 1.20 per km plus applicable tolls.</w:t>
      </w:r>
    </w:p>
    <w:p>
      <w:pPr>
        <w:pStyle w:val="BodyText"/>
      </w:pPr>
      <w:r>
        <w:t xml:space="preserve">5.3 The</w:t>
      </w:r>
      <w:r>
        <w:t xml:space="preserve"> </w:t>
      </w:r>
      <w:r>
        <w:t xml:space="preserve">Architect</w:t>
      </w:r>
      <w:r>
        <w:t xml:space="preserve"> </w:t>
      </w:r>
      <w:r>
        <w:t xml:space="preserve">shall carry out all professional duties in accordance with the Code of Ethics and Professional Conduct of the Order of Architects of Naples and the provisions of Law No. 4/2013 (Reform of the Professions).</w:t>
      </w:r>
    </w:p>
    <w:p>
      <w:pPr>
        <w:pStyle w:val="BodyText"/>
      </w:pPr>
      <w:r>
        <w:t xml:space="preserve">5.4 The client agrees to provide timely access to the property and all existing documentation (title deeds, prior permits, survey plans) necessary for the</w:t>
      </w:r>
      <w:r>
        <w:t xml:space="preserve"> </w:t>
      </w:r>
      <w:r>
        <w:t xml:space="preserve">Architect</w:t>
      </w:r>
      <w:r>
        <w:t xml:space="preserve"> </w:t>
      </w:r>
      <w:r>
        <w:t xml:space="preserve">to proceed with the project in</w:t>
      </w:r>
      <w:r>
        <w:t xml:space="preserve"> </w:t>
      </w:r>
      <w:r>
        <w:t xml:space="preserve">Italy Naples</w:t>
      </w:r>
      <w:r>
        <w:t xml:space="preserve">.</w:t>
      </w:r>
    </w:p>
    <w:p>
      <w:pPr>
        <w:pStyle w:val="BodyText"/>
      </w:pPr>
      <w:r>
        <w:t xml:space="preserve">5.5 Any variation in the scope of work exceeding 10% of the original</w:t>
      </w:r>
      <w:r>
        <w:t xml:space="preserve"> </w:t>
      </w:r>
      <w:r>
        <w:t xml:space="preserve">Quotation Estimate</w:t>
      </w:r>
      <w:r>
        <w:t xml:space="preserve"> </w:t>
      </w:r>
      <w:r>
        <w:t xml:space="preserve">shall require a written amendment signed by both parties before additional services are rendered.</w:t>
      </w:r>
    </w:p>
    <w:p>
      <w:pPr>
        <w:pStyle w:val="BodyText"/>
      </w:pPr>
      <w:r>
        <w:t xml:space="preserve">5.6 The</w:t>
      </w:r>
      <w:r>
        <w:t xml:space="preserve"> </w:t>
      </w:r>
      <w:r>
        <w:t xml:space="preserve">Architect</w:t>
      </w:r>
      <w:r>
        <w:t xml:space="preserve"> </w:t>
      </w:r>
      <w:r>
        <w:t xml:space="preserve">maintains professional indemnity insurance with a minimum coverage of € 1,000,000 per claim, as required by the Order of Architects of Naples. A certificate of insurance shall be provided upon request.</w:t>
      </w:r>
    </w:p>
    <w:p>
      <w:pPr>
        <w:pStyle w:val="BodyText"/>
      </w:pPr>
      <w:r>
        <w:t xml:space="preserve">5.7 Disputes arising from this</w:t>
      </w:r>
      <w:r>
        <w:t xml:space="preserve"> </w:t>
      </w:r>
      <w:r>
        <w:t xml:space="preserve">Quotation Estimate</w:t>
      </w:r>
      <w:r>
        <w:t xml:space="preserve"> </w:t>
      </w:r>
      <w:r>
        <w:t xml:space="preserve">or the subsequent professional services contract shall be resolved by the competent courts of Naples, Italy, in accordance with Italian civil law.</w:t>
      </w:r>
    </w:p>
    <w:bookmarkEnd w:id="25"/>
    <w:bookmarkStart w:id="26" w:name="acceptance-signatures"/>
    <w:p>
      <w:pPr>
        <w:pStyle w:val="Heading2"/>
      </w:pPr>
      <w:r>
        <w:t xml:space="preserve">6. Acceptance &amp;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Italy Naples</w:t>
      </w:r>
      <w:r>
        <w:t xml:space="preserve"> </w:t>
      </w:r>
      <w:r>
        <w:t xml:space="preserve">and agrees to the terms, conditions, and fee structure outlined herein. This document does not constitute a binding contract until a formal professional services agreement (Contratto di Prestazione d'Opera Intellettuale) is executed by both parties.</w:t>
      </w:r>
    </w:p>
    <w:bookmarkEnd w:id="26"/>
    <w:p>
      <w:pPr>
        <w:pStyle w:val="BodyText"/>
      </w:pPr>
      <w:r>
        <w:rPr>
          <w:bCs/>
          <w:b/>
        </w:rPr>
        <w:t xml:space="preserve">For Studio Architettonico Vesuvio S.r.l.</w:t>
      </w:r>
      <w:r>
        <w:br/>
      </w:r>
      <w:r>
        <w:t xml:space="preserve">Arch. Maria Concetta Ferraro</w:t>
      </w:r>
      <w:r>
        <w:br/>
      </w:r>
      <w:r>
        <w:t xml:space="preserve">Signature: _________________________</w:t>
      </w:r>
      <w:r>
        <w:br/>
      </w:r>
      <w:r>
        <w:t xml:space="preserve">Date: _________________________</w:t>
      </w:r>
    </w:p>
    <w:p>
      <w:pPr>
        <w:pStyle w:val="BodyText"/>
      </w:pPr>
      <w:r>
        <w:rPr>
          <w:bCs/>
          <w:b/>
        </w:rPr>
        <w:t xml:space="preserve">For the Client</w:t>
      </w:r>
      <w:r>
        <w:br/>
      </w:r>
      <w:r>
        <w:t xml:space="preserve">Signor Alessandro De Luca</w:t>
      </w:r>
      <w:r>
        <w:br/>
      </w:r>
      <w:r>
        <w:t xml:space="preserve">Signature: _________________________</w:t>
      </w:r>
      <w:r>
        <w:br/>
      </w:r>
      <w:r>
        <w:t xml:space="preserve">Date: _________________________</w:t>
      </w:r>
    </w:p>
    <w:p>
      <w:pPr>
        <w:pStyle w:val="BodyText"/>
      </w:pPr>
      <w:r>
        <w:t xml:space="preserve">Quotation Estimate QE-2025-NAP-0487 | Studio Architettonico Vesuvio S.r.l. | Via Toledo 245, 80132 Naples (NA), Italy</w:t>
      </w:r>
    </w:p>
    <w:p>
      <w:pPr>
        <w:pStyle w:val="BodyText"/>
      </w:pPr>
      <w:r>
        <w:t xml:space="preserve">Registered with the Order of Architects of Naples | Professional Indemnity Insurance: Polizza n. 2025/884321, Compagnia: UnipolSai</w:t>
      </w:r>
    </w:p>
    <w:p>
      <w:pPr>
        <w:pStyle w:val="BodyText"/>
      </w:pPr>
      <w:r>
        <w:t xml:space="preserve">This Quotation Estimate is issued in accordance with the professional standards of the Architect profession in Italy Naples and the regulations of the Comune di Napoli.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Italy Naples</dc:title>
  <dc:creator/>
  <dc:language>en</dc:language>
  <cp:keywords/>
  <dcterms:created xsi:type="dcterms:W3CDTF">2026-10-10T02:29:23Z</dcterms:created>
  <dcterms:modified xsi:type="dcterms:W3CDTF">2026-10-10T02:29:23Z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