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Architect Services — Ivory Coast Abidjan</w:t>
      </w:r>
    </w:p>
    <w:p>
      <w:pPr>
        <w:pStyle w:val="BodyText"/>
      </w:pPr>
      <w:r>
        <w:t xml:space="preserve">Ref: QTE-ABJ-2025-0047 | Date: 15 June 2025</w:t>
      </w:r>
    </w:p>
    <w:bookmarkEnd w:id="20"/>
    <w:p>
      <w:pPr>
        <w:pStyle w:val="BodyText"/>
      </w:pPr>
      <w:r>
        <w:rPr>
          <w:bCs/>
          <w:b/>
        </w:rPr>
        <w:t xml:space="preserve">Prepared By:</w:t>
      </w:r>
      <w:r>
        <w:br/>
      </w:r>
      <w:r>
        <w:t xml:space="preserve">Atelier Koffi &amp; Partners</w:t>
      </w:r>
      <w:r>
        <w:br/>
      </w:r>
      <w:r>
        <w:t xml:space="preserve">Architectural Design Studio</w:t>
      </w:r>
      <w:r>
        <w:br/>
      </w:r>
      <w:r>
        <w:t xml:space="preserve">Boulevard de Vridi, Cocody</w:t>
      </w:r>
      <w:r>
        <w:br/>
      </w:r>
      <w:r>
        <w:t xml:space="preserve">Abidjan, Ivory Coast</w:t>
      </w:r>
      <w:r>
        <w:br/>
      </w:r>
      <w:r>
        <w:t xml:space="preserve">Tel: +225 27 22 45 67 89</w:t>
      </w:r>
      <w:r>
        <w:br/>
      </w:r>
      <w:r>
        <w:t xml:space="preserve">Email: contact@atelierkoffi.ci</w:t>
      </w:r>
    </w:p>
    <w:p>
      <w:pPr>
        <w:pStyle w:val="BodyText"/>
      </w:pPr>
      <w:r>
        <w:rPr>
          <w:bCs/>
          <w:b/>
        </w:rPr>
        <w:t xml:space="preserve">Prepared For:</w:t>
      </w:r>
      <w:r>
        <w:br/>
      </w:r>
      <w:r>
        <w:t xml:space="preserve">M. Jean-Marc Ouattara</w:t>
      </w:r>
      <w:r>
        <w:br/>
      </w:r>
      <w:r>
        <w:t xml:space="preserve">Director, SOTRAHIM SA</w:t>
      </w:r>
      <w:r>
        <w:br/>
      </w:r>
      <w:r>
        <w:t xml:space="preserve">Avenue Chardy, Plateau</w:t>
      </w:r>
      <w:r>
        <w:br/>
      </w:r>
      <w:r>
        <w:t xml:space="preserve">Abidjan, Ivory Coast</w:t>
      </w:r>
      <w:r>
        <w:br/>
      </w:r>
      <w:r>
        <w:t xml:space="preserve">Tel: +225 27 21 33 44 55</w:t>
      </w:r>
      <w:r>
        <w:br/>
      </w:r>
      <w:r>
        <w:t xml:space="preserve">Email: j.ouattara@sotrahim.ci</w:t>
      </w:r>
    </w:p>
    <w:bookmarkStart w:id="21"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issued by Atelier Koffi &amp; Partners, a licensed</w:t>
      </w:r>
      <w:r>
        <w:t xml:space="preserve"> </w:t>
      </w:r>
      <w:r>
        <w:t xml:space="preserve">Architect</w:t>
      </w:r>
      <w:r>
        <w:t xml:space="preserve"> </w:t>
      </w:r>
      <w:r>
        <w:t xml:space="preserve">firm registered with the Ordre des Architectes de Côte d'Ivoire, in response to the formal request submitted by SOTRAHIM SA for the design and architectural supervision of a mixed-use commercial and residential complex located in the Cocody district of</w:t>
      </w:r>
      <w:r>
        <w:t xml:space="preserve"> </w:t>
      </w:r>
      <w:r>
        <w:t xml:space="preserve">Ivory Coast Abidjan</w:t>
      </w:r>
      <w:r>
        <w:t xml:space="preserve">. The proposed structure comprises a ground floor plus four (4) upper levels, with an estimated total built area of 3,200 square metres, including underground parking, retail spaces, and 48 residential units.</w:t>
      </w:r>
    </w:p>
    <w:bookmarkEnd w:id="21"/>
    <w:bookmarkStart w:id="22" w:name="scope-of-architect-services"/>
    <w:p>
      <w:pPr>
        <w:pStyle w:val="Heading2"/>
      </w:pPr>
      <w:r>
        <w:t xml:space="preserve">2. Scope of Architect Services</w:t>
      </w:r>
    </w:p>
    <w:p>
      <w:pPr>
        <w:pStyle w:val="FirstParagraph"/>
      </w:pPr>
      <w:r>
        <w:t xml:space="preserve">The</w:t>
      </w:r>
      <w:r>
        <w:t xml:space="preserve"> </w:t>
      </w:r>
      <w:r>
        <w:t xml:space="preserve">Architect</w:t>
      </w:r>
      <w:r>
        <w:t xml:space="preserve"> </w:t>
      </w:r>
      <w:r>
        <w:t xml:space="preserve">engagement outlined in this</w:t>
      </w:r>
      <w:r>
        <w:t xml:space="preserve"> </w:t>
      </w:r>
      <w:r>
        <w:t xml:space="preserve">Quotation Estimate</w:t>
      </w:r>
      <w:r>
        <w:t xml:space="preserve"> </w:t>
      </w:r>
      <w:r>
        <w:t xml:space="preserve">encompasses the following phases of professional service, all to be executed in full compliance with the Ivorian Urban Planning Code (Code de l'Urbanisme de la Côte d'Ivoire) and the municipal building regulations of the Commune d'Abidjan:</w:t>
      </w:r>
    </w:p>
    <w:p>
      <w:pPr>
        <w:numPr>
          <w:ilvl w:val="0"/>
          <w:numId w:val="1001"/>
        </w:numPr>
        <w:pStyle w:val="Compact"/>
      </w:pPr>
      <w:r>
        <w:rPr>
          <w:bCs/>
          <w:b/>
        </w:rPr>
        <w:t xml:space="preserve">Phase 1 — Feasibility &amp; Concept Design:</w:t>
      </w:r>
      <w:r>
        <w:t xml:space="preserve"> </w:t>
      </w:r>
      <w:r>
        <w:t xml:space="preserve">Site analysis, topographic survey coordination, zoning verification with the Direction de l'Urbanisme d'Abidjan, and preparation of preliminary architectural concept drawings including massing studies, orientation analysis, and material palette proposals.</w:t>
      </w:r>
    </w:p>
    <w:p>
      <w:pPr>
        <w:numPr>
          <w:ilvl w:val="0"/>
          <w:numId w:val="1001"/>
        </w:numPr>
        <w:pStyle w:val="Compact"/>
      </w:pPr>
      <w:r>
        <w:rPr>
          <w:bCs/>
          <w:b/>
        </w:rPr>
        <w:t xml:space="preserve">Phase 2 — Schematic Design:</w:t>
      </w:r>
      <w:r>
        <w:t xml:space="preserve"> </w:t>
      </w:r>
      <w:r>
        <w:t xml:space="preserve">Development of floor plans, elevations, and sections for all levels; integration of structural, mechanical, electrical, and plumbing (MEP) coordination; and preparation of a 3D visualisation package for client approval.</w:t>
      </w:r>
    </w:p>
    <w:p>
      <w:pPr>
        <w:numPr>
          <w:ilvl w:val="0"/>
          <w:numId w:val="1001"/>
        </w:numPr>
        <w:pStyle w:val="Compact"/>
      </w:pPr>
      <w:r>
        <w:rPr>
          <w:bCs/>
          <w:b/>
        </w:rPr>
        <w:t xml:space="preserve">Phase 3 — Detailed Design &amp; Construction Documentation:</w:t>
      </w:r>
      <w:r>
        <w:t xml:space="preserve"> </w:t>
      </w:r>
      <w:r>
        <w:t xml:space="preserve">Production of full construction drawings (1:50, 1:100, 1:200 scales), technical specifications, bill of quantities, and all documentation required for the submission of the Permis de Construire to the relevant authorities in</w:t>
      </w:r>
      <w:r>
        <w:t xml:space="preserve"> </w:t>
      </w:r>
      <w:r>
        <w:t xml:space="preserve">Ivory Coast Abidjan</w:t>
      </w:r>
      <w:r>
        <w:t xml:space="preserve">.</w:t>
      </w:r>
    </w:p>
    <w:p>
      <w:pPr>
        <w:numPr>
          <w:ilvl w:val="0"/>
          <w:numId w:val="1001"/>
        </w:numPr>
        <w:pStyle w:val="Compact"/>
      </w:pPr>
      <w:r>
        <w:rPr>
          <w:bCs/>
          <w:b/>
        </w:rPr>
        <w:t xml:space="preserve">Phase 4 — Tender &amp; Contract Administration:</w:t>
      </w:r>
      <w:r>
        <w:t xml:space="preserve"> </w:t>
      </w:r>
      <w:r>
        <w:t xml:space="preserve">Preparation of tender documents, evaluation of contractor bids, and assistance in the negotiation and execution of the main construction contract.</w:t>
      </w:r>
    </w:p>
    <w:p>
      <w:pPr>
        <w:numPr>
          <w:ilvl w:val="0"/>
          <w:numId w:val="1001"/>
        </w:numPr>
        <w:pStyle w:val="Compact"/>
      </w:pPr>
      <w:r>
        <w:rPr>
          <w:bCs/>
          <w:b/>
        </w:rPr>
        <w:t xml:space="preserve">Phase 5 — Construction Supervision:</w:t>
      </w:r>
      <w:r>
        <w:t xml:space="preserve"> </w:t>
      </w:r>
      <w:r>
        <w:t xml:space="preserve">On-site architectural supervision, weekly progress inspections, review of shop drawings, coordination of design changes, and issuance of progress certificates throughout the construction period (estimated 24 months).</w:t>
      </w:r>
    </w:p>
    <w:bookmarkEnd w:id="22"/>
    <w:bookmarkStart w:id="23" w:name="financial-breakdown"/>
    <w:p>
      <w:pPr>
        <w:pStyle w:val="Heading2"/>
      </w:pPr>
      <w:r>
        <w:t xml:space="preserve">3. Financial Breakdown</w:t>
      </w:r>
    </w:p>
    <w:p>
      <w:pPr>
        <w:pStyle w:val="FirstParagraph"/>
      </w:pPr>
      <w:r>
        <w:t xml:space="preserve">The following</w:t>
      </w:r>
      <w:r>
        <w:t xml:space="preserve"> </w:t>
      </w:r>
      <w:r>
        <w:t xml:space="preserve">Quotation Estimate</w:t>
      </w:r>
      <w:r>
        <w:t xml:space="preserve"> </w:t>
      </w:r>
      <w:r>
        <w:t xml:space="preserve">presents the professional fees for the</w:t>
      </w:r>
      <w:r>
        <w:t xml:space="preserve"> </w:t>
      </w:r>
      <w:r>
        <w:t xml:space="preserve">Architect</w:t>
      </w:r>
      <w:r>
        <w:t xml:space="preserve"> </w:t>
      </w:r>
      <w:r>
        <w:t xml:space="preserve">services described above. All amounts are expressed in West African CFA Francs (XOF) and are exclusive of applicable taxes.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Feasibility Study &amp; Concept Design</w:t>
            </w:r>
          </w:p>
        </w:tc>
        <w:tc>
          <w:tcPr/>
          <w:p>
            <w:pPr>
              <w:pStyle w:val="Compact"/>
              <w:jc w:val="left"/>
            </w:pPr>
            <w:r>
              <w:t xml:space="preserve">6 weeks</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Schematic Design &amp; 3D Visualisation</w:t>
            </w:r>
          </w:p>
        </w:tc>
        <w:tc>
          <w:tcPr/>
          <w:p>
            <w:pPr>
              <w:pStyle w:val="Compact"/>
              <w:jc w:val="left"/>
            </w:pPr>
            <w:r>
              <w:t xml:space="preserve">8 weeks</w:t>
            </w:r>
          </w:p>
        </w:tc>
        <w:tc>
          <w:tcPr/>
          <w:p>
            <w:pPr>
              <w:pStyle w:val="Compact"/>
              <w:jc w:val="left"/>
            </w:pPr>
            <w:r>
              <w:t xml:space="preserve">6,800,000</w:t>
            </w:r>
          </w:p>
        </w:tc>
      </w:tr>
      <w:tr>
        <w:tc>
          <w:tcPr/>
          <w:p>
            <w:pPr>
              <w:pStyle w:val="Compact"/>
              <w:jc w:val="left"/>
            </w:pPr>
            <w:r>
              <w:t xml:space="preserve">3</w:t>
            </w:r>
          </w:p>
        </w:tc>
        <w:tc>
          <w:tcPr/>
          <w:p>
            <w:pPr>
              <w:pStyle w:val="Compact"/>
              <w:jc w:val="left"/>
            </w:pPr>
            <w:r>
              <w:t xml:space="preserve">Detailed Design &amp; Construction Drawings</w:t>
            </w:r>
          </w:p>
        </w:tc>
        <w:tc>
          <w:tcPr/>
          <w:p>
            <w:pPr>
              <w:pStyle w:val="Compact"/>
              <w:jc w:val="left"/>
            </w:pPr>
            <w:r>
              <w:t xml:space="preserve">12 weeks</w:t>
            </w:r>
          </w:p>
        </w:tc>
        <w:tc>
          <w:tcPr/>
          <w:p>
            <w:pPr>
              <w:pStyle w:val="Compact"/>
              <w:jc w:val="left"/>
            </w:pPr>
            <w:r>
              <w:t xml:space="preserve">9,200,000</w:t>
            </w:r>
          </w:p>
        </w:tc>
      </w:tr>
      <w:tr>
        <w:tc>
          <w:tcPr/>
          <w:p>
            <w:pPr>
              <w:pStyle w:val="Compact"/>
              <w:jc w:val="left"/>
            </w:pPr>
            <w:r>
              <w:t xml:space="preserve">4</w:t>
            </w:r>
          </w:p>
        </w:tc>
        <w:tc>
          <w:tcPr/>
          <w:p>
            <w:pPr>
              <w:pStyle w:val="Compact"/>
              <w:jc w:val="left"/>
            </w:pPr>
            <w:r>
              <w:t xml:space="preserve">Permit Application &amp; Regulatory Liaison (Abidjan)</w:t>
            </w:r>
          </w:p>
        </w:tc>
        <w:tc>
          <w:tcPr/>
          <w:p>
            <w:pPr>
              <w:pStyle w:val="Compact"/>
              <w:jc w:val="left"/>
            </w:pPr>
            <w:r>
              <w:t xml:space="preserve">4 weeks</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Tender Documentation &amp; Contract Administration</w:t>
            </w:r>
          </w:p>
        </w:tc>
        <w:tc>
          <w:tcPr/>
          <w:p>
            <w:pPr>
              <w:pStyle w:val="Compact"/>
              <w:jc w:val="left"/>
            </w:pPr>
            <w:r>
              <w:t xml:space="preserve">6 weeks</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Construction Supervision (24 months, on-site)</w:t>
            </w:r>
          </w:p>
        </w:tc>
        <w:tc>
          <w:tcPr/>
          <w:p>
            <w:pPr>
              <w:pStyle w:val="Compact"/>
              <w:jc w:val="left"/>
            </w:pPr>
            <w:r>
              <w:t xml:space="preserve">24 months</w:t>
            </w:r>
          </w:p>
        </w:tc>
        <w:tc>
          <w:tcPr/>
          <w:p>
            <w:pPr>
              <w:pStyle w:val="Compact"/>
              <w:jc w:val="left"/>
            </w:pPr>
            <w:r>
              <w:t xml:space="preserve">18,500,000</w:t>
            </w:r>
          </w:p>
        </w:tc>
      </w:tr>
      <w:tr>
        <w:tc>
          <w:tcPr/>
          <w:p>
            <w:pPr>
              <w:pStyle w:val="Compact"/>
              <w:jc w:val="left"/>
            </w:pPr>
            <w:r>
              <w:t xml:space="preserve">7</w:t>
            </w:r>
          </w:p>
        </w:tc>
        <w:tc>
          <w:tcPr/>
          <w:p>
            <w:pPr>
              <w:pStyle w:val="Compact"/>
              <w:jc w:val="left"/>
            </w:pPr>
            <w:r>
              <w:t xml:space="preserve">Project Management &amp; Coordination (ongoing)</w:t>
            </w:r>
          </w:p>
        </w:tc>
        <w:tc>
          <w:tcPr/>
          <w:p>
            <w:pPr>
              <w:pStyle w:val="Compact"/>
              <w:jc w:val="left"/>
            </w:pPr>
            <w:r>
              <w:t xml:space="preserve">Full project</w:t>
            </w:r>
          </w:p>
        </w:tc>
        <w:tc>
          <w:tcPr/>
          <w:p>
            <w:pPr>
              <w:pStyle w:val="Compact"/>
              <w:jc w:val="left"/>
            </w:pPr>
            <w:r>
              <w:t xml:space="preserve">4,000,000</w:t>
            </w:r>
          </w:p>
        </w:tc>
      </w:tr>
      <w:tr>
        <w:tc>
          <w:tcPr>
            <w:gridSpan w:val="3"/>
          </w:tcPr>
          <w:p>
            <w:pPr>
              <w:pStyle w:val="Compact"/>
              <w:jc w:val="left"/>
            </w:pPr>
            <w:r>
              <w:t xml:space="preserve">Subtotal (Professional Fees)</w:t>
            </w:r>
          </w:p>
        </w:tc>
        <w:tc>
          <w:tcPr/>
          <w:p>
            <w:pPr>
              <w:pStyle w:val="Compact"/>
              <w:jc w:val="left"/>
            </w:pPr>
            <w:r>
              <w:t xml:space="preserve">49,000,000</w:t>
            </w:r>
          </w:p>
        </w:tc>
      </w:tr>
      <w:tr>
        <w:tc>
          <w:tcPr>
            <w:gridSpan w:val="3"/>
          </w:tcPr>
          <w:p>
            <w:pPr>
              <w:pStyle w:val="Compact"/>
              <w:jc w:val="left"/>
            </w:pPr>
            <w:r>
              <w:t xml:space="preserve">TVA (18%)</w:t>
            </w:r>
          </w:p>
        </w:tc>
        <w:tc>
          <w:tcPr/>
          <w:p>
            <w:pPr>
              <w:pStyle w:val="Compact"/>
              <w:jc w:val="left"/>
            </w:pPr>
            <w:r>
              <w:t xml:space="preserve">8,820,000</w:t>
            </w:r>
          </w:p>
        </w:tc>
      </w:tr>
      <w:tr>
        <w:tc>
          <w:tcPr>
            <w:gridSpan w:val="3"/>
          </w:tcPr>
          <w:p>
            <w:pPr>
              <w:pStyle w:val="Compact"/>
              <w:jc w:val="left"/>
            </w:pPr>
            <w:r>
              <w:t xml:space="preserve">Taxe Professionnelle (0.5%)</w:t>
            </w:r>
          </w:p>
        </w:tc>
        <w:tc>
          <w:tcPr/>
          <w:p>
            <w:pPr>
              <w:pStyle w:val="Compact"/>
              <w:jc w:val="left"/>
            </w:pPr>
            <w:r>
              <w:t xml:space="preserve">245,000</w:t>
            </w:r>
          </w:p>
        </w:tc>
      </w:tr>
      <w:tr>
        <w:tc>
          <w:tcPr>
            <w:gridSpan w:val="3"/>
          </w:tcPr>
          <w:p>
            <w:pPr>
              <w:pStyle w:val="Compact"/>
              <w:jc w:val="left"/>
            </w:pPr>
            <w:r>
              <w:t xml:space="preserve">TOTAL ESTIMATED COST (XOF)</w:t>
            </w:r>
          </w:p>
        </w:tc>
        <w:tc>
          <w:tcPr/>
          <w:p>
            <w:pPr>
              <w:pStyle w:val="Compact"/>
              <w:jc w:val="left"/>
            </w:pPr>
            <w:r>
              <w:t xml:space="preserve">58,065,000</w:t>
            </w:r>
          </w:p>
        </w:tc>
      </w:tr>
    </w:tbl>
    <w:p>
      <w:pPr>
        <w:pStyle w:val="BodyText"/>
      </w:pPr>
      <w:r>
        <w:t xml:space="preserve">* The above</w:t>
      </w:r>
      <w:r>
        <w:t xml:space="preserve"> </w:t>
      </w:r>
      <w:r>
        <w:t xml:space="preserve">Quotation Estimate</w:t>
      </w:r>
      <w:r>
        <w:t xml:space="preserve"> </w:t>
      </w:r>
      <w:r>
        <w:t xml:space="preserve">does not include third-party costs such as geotechnical surveys, environmental impact assessments, or specialist engineering consultancy fees, which will be quoted separately upon client instruction.</w:t>
      </w:r>
    </w:p>
    <w:bookmarkEnd w:id="23"/>
    <w:bookmarkStart w:id="24" w:name="payment-schedule"/>
    <w:p>
      <w:pPr>
        <w:pStyle w:val="Heading2"/>
      </w:pPr>
      <w:r>
        <w:t xml:space="preserve">4. Payment Schedule</w:t>
      </w:r>
    </w:p>
    <w:p>
      <w:pPr>
        <w:pStyle w:val="FirstParagraph"/>
      </w:pPr>
      <w:r>
        <w:t xml:space="preserve">Payment for the</w:t>
      </w:r>
      <w:r>
        <w:t xml:space="preserve"> </w:t>
      </w:r>
      <w:r>
        <w:t xml:space="preserve">Architect</w:t>
      </w:r>
      <w:r>
        <w:t xml:space="preserve"> </w:t>
      </w:r>
      <w:r>
        <w:t xml:space="preserve">services shall be made in accordance with the following milestone-based schedule, as stipulated in this</w:t>
      </w:r>
      <w:r>
        <w:t xml:space="preserve"> </w:t>
      </w:r>
      <w:r>
        <w:t xml:space="preserve">Quotation Estimate</w:t>
      </w:r>
      <w:r>
        <w:t xml:space="preserve">:</w:t>
      </w:r>
    </w:p>
    <w:p>
      <w:pPr>
        <w:numPr>
          <w:ilvl w:val="0"/>
          <w:numId w:val="1002"/>
        </w:numPr>
        <w:pStyle w:val="Compact"/>
      </w:pPr>
      <w:r>
        <w:t xml:space="preserve">20% upon signing of the professional services agreement and receipt of the initial mobilisation deposit.</w:t>
      </w:r>
    </w:p>
    <w:p>
      <w:pPr>
        <w:numPr>
          <w:ilvl w:val="0"/>
          <w:numId w:val="1002"/>
        </w:numPr>
        <w:pStyle w:val="Compact"/>
      </w:pPr>
      <w:r>
        <w:t xml:space="preserve">15% upon approval of the Schematic Design package.</w:t>
      </w:r>
    </w:p>
    <w:p>
      <w:pPr>
        <w:numPr>
          <w:ilvl w:val="0"/>
          <w:numId w:val="1002"/>
        </w:numPr>
        <w:pStyle w:val="Compact"/>
      </w:pPr>
      <w:r>
        <w:t xml:space="preserve">25% upon submission of the complete Detailed Design and Construction Documentation set.</w:t>
      </w:r>
    </w:p>
    <w:p>
      <w:pPr>
        <w:numPr>
          <w:ilvl w:val="0"/>
          <w:numId w:val="1002"/>
        </w:numPr>
        <w:pStyle w:val="Compact"/>
      </w:pPr>
      <w:r>
        <w:t xml:space="preserve">10% upon successful issuance of the Permis de Construire by the Abidjan municipal authorities.</w:t>
      </w:r>
    </w:p>
    <w:p>
      <w:pPr>
        <w:numPr>
          <w:ilvl w:val="0"/>
          <w:numId w:val="1002"/>
        </w:numPr>
        <w:pStyle w:val="Compact"/>
      </w:pPr>
      <w:r>
        <w:t xml:space="preserve">30% distributed in monthly instalments during the Construction Supervision phase, subject to satisfactory progress reports.</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fees may be subject to revision based on prevailing market conditions in</w:t>
      </w:r>
      <w:r>
        <w:t xml:space="preserve"> </w:t>
      </w:r>
      <w:r>
        <w:t xml:space="preserve">Ivory Coast Abidjan</w:t>
      </w:r>
      <w:r>
        <w:t xml:space="preserve">.</w:t>
      </w:r>
    </w:p>
    <w:p>
      <w:pPr>
        <w:numPr>
          <w:ilvl w:val="0"/>
          <w:numId w:val="1003"/>
        </w:numPr>
        <w:pStyle w:val="Compact"/>
      </w:pPr>
      <w:r>
        <w:t xml:space="preserve">All intellectual property rights in the architectural drawings, designs, and documentation produced by the</w:t>
      </w:r>
      <w:r>
        <w:t xml:space="preserve"> </w:t>
      </w:r>
      <w:r>
        <w:t xml:space="preserve">Architect</w:t>
      </w:r>
      <w:r>
        <w:t xml:space="preserve"> </w:t>
      </w:r>
      <w:r>
        <w:t xml:space="preserve">shall remain the exclusive property of Atelier Koffi &amp; Partners until full payment has been received.</w:t>
      </w:r>
    </w:p>
    <w:p>
      <w:pPr>
        <w:numPr>
          <w:ilvl w:val="0"/>
          <w:numId w:val="1003"/>
        </w:numPr>
        <w:pStyle w:val="Compact"/>
      </w:pPr>
      <w:r>
        <w:t xml:space="preserve">The</w:t>
      </w:r>
      <w:r>
        <w:t xml:space="preserve"> </w:t>
      </w:r>
      <w:r>
        <w:t xml:space="preserve">Architect</w:t>
      </w:r>
      <w:r>
        <w:t xml:space="preserve"> </w:t>
      </w:r>
      <w:r>
        <w:t xml:space="preserve">shall maintain professional indemnity insurance with a minimum coverage of 50,000,000 XOF throughout the duration of the engagement.</w:t>
      </w:r>
    </w:p>
    <w:p>
      <w:pPr>
        <w:numPr>
          <w:ilvl w:val="0"/>
          <w:numId w:val="1003"/>
        </w:numPr>
        <w:pStyle w:val="Compact"/>
      </w:pPr>
      <w:r>
        <w:t xml:space="preserve">Any variation in scope exceeding 10% of the originally agreed work shall require a written amendment to this</w:t>
      </w:r>
      <w:r>
        <w:t xml:space="preserve"> </w:t>
      </w:r>
      <w:r>
        <w:t xml:space="preserve">Quotation Estimate</w:t>
      </w:r>
      <w:r>
        <w:t xml:space="preserve">, signed by both parties, before additional work commences.</w:t>
      </w:r>
    </w:p>
    <w:p>
      <w:pPr>
        <w:numPr>
          <w:ilvl w:val="0"/>
          <w:numId w:val="1003"/>
        </w:numPr>
        <w:pStyle w:val="Compact"/>
      </w:pPr>
      <w:r>
        <w:t xml:space="preserve">Disputes arising from this engagement shall be resolved through mediation in Abidjan, Ivory Coast, in accordance with the provisions of the Ivorian Code of Civil Procedure. Failing mediation, the matter shall be referred to the competent courts of Abidjan.</w:t>
      </w:r>
    </w:p>
    <w:p>
      <w:pPr>
        <w:numPr>
          <w:ilvl w:val="0"/>
          <w:numId w:val="1003"/>
        </w:numPr>
        <w:pStyle w:val="Compact"/>
      </w:pPr>
      <w:r>
        <w:t xml:space="preserve">The</w:t>
      </w:r>
      <w:r>
        <w:t xml:space="preserve"> </w:t>
      </w:r>
      <w:r>
        <w:t xml:space="preserve">Architect</w:t>
      </w:r>
      <w:r>
        <w:t xml:space="preserve"> </w:t>
      </w:r>
      <w:r>
        <w:t xml:space="preserve">reserves the right to withdraw from this engagement upon thirty (30) days' written notice in the event of non-payment of any invoice beyond forty-five (45) days of its due date.</w:t>
      </w:r>
    </w:p>
    <w:p>
      <w:pPr>
        <w:numPr>
          <w:ilvl w:val="0"/>
          <w:numId w:val="1003"/>
        </w:numPr>
        <w:pStyle w:val="Compact"/>
      </w:pPr>
      <w:r>
        <w:t xml:space="preserve">All communications regarding this project shall be directed to the project lead</w:t>
      </w:r>
      <w:r>
        <w:t xml:space="preserve"> </w:t>
      </w:r>
      <w:r>
        <w:t xml:space="preserve">Architect</w:t>
      </w:r>
      <w:r>
        <w:t xml:space="preserve">, Mr. Yao Koffi, at the studio address listed above.</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provisions set forth herein for the</w:t>
      </w:r>
      <w:r>
        <w:t xml:space="preserve"> </w:t>
      </w:r>
      <w:r>
        <w:t xml:space="preserve">Architect</w:t>
      </w:r>
      <w:r>
        <w:t xml:space="preserve"> </w:t>
      </w:r>
      <w:r>
        <w:t xml:space="preserve">services to be delivered in</w:t>
      </w:r>
      <w:r>
        <w:t xml:space="preserve"> </w:t>
      </w:r>
      <w:r>
        <w:t xml:space="preserve">Ivory Coast Abidjan</w:t>
      </w:r>
      <w:r>
        <w:t xml:space="preserve">.</w:t>
      </w:r>
    </w:p>
    <w:bookmarkEnd w:id="26"/>
    <w:p>
      <w:pPr>
        <w:pStyle w:val="BodyText"/>
      </w:pPr>
      <w:r>
        <w:rPr>
          <w:bCs/>
          <w:b/>
        </w:rPr>
        <w:t xml:space="preserve">For Atelier Koffi &amp; Partners (Architect)</w:t>
      </w:r>
    </w:p>
    <w:p>
      <w:pPr>
        <w:pStyle w:val="BodyText"/>
      </w:pPr>
      <w:r>
        <w:t xml:space="preserve">Mr. Yao Koffi</w:t>
      </w:r>
      <w:r>
        <w:br/>
      </w:r>
      <w:r>
        <w:t xml:space="preserve">Principal Architect</w:t>
      </w:r>
      <w:r>
        <w:br/>
      </w:r>
      <w:r>
        <w:t xml:space="preserve">Date: _______________</w:t>
      </w:r>
    </w:p>
    <w:p>
      <w:pPr>
        <w:pStyle w:val="BodyText"/>
      </w:pPr>
      <w:r>
        <w:rPr>
          <w:bCs/>
          <w:b/>
        </w:rPr>
        <w:t xml:space="preserve">For SOTRAHIM SA (Client)</w:t>
      </w:r>
    </w:p>
    <w:p>
      <w:pPr>
        <w:pStyle w:val="BodyText"/>
      </w:pPr>
      <w:r>
        <w:t xml:space="preserve">M. Jean-Marc Ouattara</w:t>
      </w:r>
      <w:r>
        <w:br/>
      </w:r>
      <w:r>
        <w:t xml:space="preserve">Director</w:t>
      </w:r>
      <w:r>
        <w:br/>
      </w:r>
      <w:r>
        <w:t xml:space="preserve">Date: _______________</w:t>
      </w:r>
    </w:p>
    <w:p>
      <w:pPr>
        <w:pStyle w:val="BodyText"/>
      </w:pPr>
      <w:r>
        <w:t xml:space="preserve">Atelier Koffi &amp; Partners — Licensed Architect Firm — Ordre des Architectes de Côte d'Ivoire, Registration No. OA-CI-2019-0142</w:t>
      </w:r>
    </w:p>
    <w:p>
      <w:pPr>
        <w:pStyle w:val="BodyText"/>
      </w:pPr>
      <w:r>
        <w:t xml:space="preserve">Boulevard de Vridi, Cocody, Abidjan, Ivory Coast | Tel: +225 27 22 45 67 89 | contact@atelierkoffi.ci</w:t>
      </w:r>
    </w:p>
    <w:p>
      <w:pPr>
        <w:pStyle w:val="BodyText"/>
      </w:pPr>
      <w:r>
        <w:t xml:space="preserve">This Quotation Estimate document is confidential and intended solely for the named recipient.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Ivory Coast Abidjan</dc:title>
  <dc:creator/>
  <dc:language>en</dc:language>
  <cp:keywords/>
  <dcterms:created xsi:type="dcterms:W3CDTF">2026-10-10T02:45:53Z</dcterms:created>
  <dcterms:modified xsi:type="dcterms:W3CDTF">2026-10-10T02:45:53Z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