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Architectural Design &amp; Consulting Services</w:t>
      </w:r>
    </w:p>
    <w:p>
      <w:pPr>
        <w:pStyle w:val="BodyText"/>
      </w:pPr>
      <w:r>
        <w:t xml:space="preserve">Prepared for the Japan Osaka Region</w:t>
      </w:r>
    </w:p>
    <w:bookmarkEnd w:id="20"/>
    <w:p>
      <w:pPr>
        <w:pStyle w:val="BodyText"/>
      </w:pPr>
      <w:r>
        <w:t xml:space="preserve">Quotation Estimate No.:</w:t>
      </w:r>
      <w:r>
        <w:t xml:space="preserve"> </w:t>
      </w:r>
      <w:r>
        <w:t xml:space="preserve">QE-OSK-2025-0472</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September 2025 (90 days)</w:t>
      </w:r>
    </w:p>
    <w:p>
      <w:pPr>
        <w:pStyle w:val="BodyText"/>
      </w:pPr>
      <w:r>
        <w:t xml:space="preserve">Prepared By:</w:t>
      </w:r>
      <w:r>
        <w:t xml:space="preserve"> </w:t>
      </w:r>
      <w:r>
        <w:t xml:space="preserve">Kuroda &amp; Associates Architectural Studio, Osaka, Japan</w:t>
      </w:r>
    </w:p>
    <w:p>
      <w:pPr>
        <w:pStyle w:val="BodyText"/>
      </w:pPr>
      <w:r>
        <w:t xml:space="preserve">Architect in Charge:</w:t>
      </w:r>
      <w:r>
        <w:t xml:space="preserve"> </w:t>
      </w:r>
      <w:r>
        <w:t xml:space="preserve">Mr. Tetsuo Kuroda, Registered Architect (Japan Registration No. 48291)</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Osaka Riverside Development Co., Ltd.</w:t>
            </w:r>
          </w:p>
        </w:tc>
      </w:tr>
      <w:tr>
        <w:tc>
          <w:tcPr/>
          <w:p>
            <w:pPr>
              <w:pStyle w:val="Compact"/>
              <w:jc w:val="left"/>
            </w:pPr>
            <w:r>
              <w:t xml:space="preserve">Address</w:t>
            </w:r>
          </w:p>
        </w:tc>
        <w:tc>
          <w:tcPr/>
          <w:p>
            <w:pPr>
              <w:pStyle w:val="Compact"/>
              <w:jc w:val="left"/>
            </w:pPr>
            <w:r>
              <w:t xml:space="preserve">3-12-8 Nakanoshima, Kita-ku, Osaka 530-0009, Japan</w:t>
            </w:r>
          </w:p>
        </w:tc>
      </w:tr>
      <w:tr>
        <w:tc>
          <w:tcPr/>
          <w:p>
            <w:pPr>
              <w:pStyle w:val="Compact"/>
              <w:jc w:val="left"/>
            </w:pPr>
            <w:r>
              <w:t xml:space="preserve">Contact Person</w:t>
            </w:r>
          </w:p>
        </w:tc>
        <w:tc>
          <w:tcPr/>
          <w:p>
            <w:pPr>
              <w:pStyle w:val="Compact"/>
              <w:jc w:val="left"/>
            </w:pPr>
            <w:r>
              <w:t xml:space="preserve">Ms. Yuki Tanaka, Project Director</w:t>
            </w:r>
          </w:p>
        </w:tc>
      </w:tr>
      <w:tr>
        <w:tc>
          <w:tcPr/>
          <w:p>
            <w:pPr>
              <w:pStyle w:val="Compact"/>
              <w:jc w:val="left"/>
            </w:pPr>
            <w:r>
              <w:t xml:space="preserve">Telephone</w:t>
            </w:r>
          </w:p>
        </w:tc>
        <w:tc>
          <w:tcPr/>
          <w:p>
            <w:pPr>
              <w:pStyle w:val="Compact"/>
              <w:jc w:val="left"/>
            </w:pPr>
            <w:r>
              <w:t xml:space="preserve">+81-6-6345-8821</w:t>
            </w:r>
          </w:p>
        </w:tc>
      </w:tr>
      <w:tr>
        <w:tc>
          <w:tcPr/>
          <w:p>
            <w:pPr>
              <w:pStyle w:val="Compact"/>
              <w:jc w:val="left"/>
            </w:pPr>
            <w:r>
              <w:t xml:space="preserve">Email</w:t>
            </w:r>
          </w:p>
        </w:tc>
        <w:tc>
          <w:tcPr/>
          <w:p>
            <w:pPr>
              <w:pStyle w:val="Compact"/>
              <w:jc w:val="left"/>
            </w:pPr>
            <w:r>
              <w:t xml:space="preserve">y.tanaka@osakariverside.co.jp</w:t>
            </w:r>
          </w:p>
        </w:tc>
      </w:tr>
    </w:tbl>
    <w:bookmarkEnd w:id="21"/>
    <w:bookmarkStart w:id="22" w:name="project-overview"/>
    <w:p>
      <w:pPr>
        <w:pStyle w:val="Heading2"/>
      </w:pPr>
      <w:r>
        <w:t xml:space="preserve">2. Project Overview</w:t>
      </w:r>
    </w:p>
    <w:p>
      <w:pPr>
        <w:pStyle w:val="FirstParagraph"/>
      </w:pPr>
      <w:r>
        <w:t xml:space="preserve">This</w:t>
      </w:r>
      <w:r>
        <w:t xml:space="preserve"> </w:t>
      </w:r>
      <w:r>
        <w:t xml:space="preserve">Quotation Estimate</w:t>
      </w:r>
      <w:r>
        <w:t xml:space="preserve"> </w:t>
      </w:r>
      <w:r>
        <w:t xml:space="preserve">is issued by Kuroda &amp; Associates Architectural Studio to provide a comprehensive cost breakdown for full-scope</w:t>
      </w:r>
      <w:r>
        <w:t xml:space="preserve"> </w:t>
      </w:r>
      <w:r>
        <w:t xml:space="preserve">Architect</w:t>
      </w:r>
      <w:r>
        <w:t xml:space="preserve"> </w:t>
      </w:r>
      <w:r>
        <w:t xml:space="preserve">services for the design and construction supervision of a mixed-use commercial and residential building located in the Nakanoshima district of</w:t>
      </w:r>
      <w:r>
        <w:t xml:space="preserve"> </w:t>
      </w:r>
      <w:r>
        <w:t xml:space="preserve">Japan Osaka</w:t>
      </w:r>
      <w:r>
        <w:t xml:space="preserve">. The project encompasses a six-storey structure with a total floor area of approximately 4,200 square metres, incorporating ground-floor retail space, offices on floors two through four, and residential units on floors five and six. The</w:t>
      </w:r>
      <w:r>
        <w:t xml:space="preserve"> </w:t>
      </w:r>
      <w:r>
        <w:t xml:space="preserve">Architect</w:t>
      </w:r>
      <w:r>
        <w:t xml:space="preserve"> </w:t>
      </w:r>
      <w:r>
        <w:t xml:space="preserve">firm will manage all phases from conceptual design through to final handover, ensuring full compliance with the Building Standards Act of Japan and all applicable Osaka municipal zoning regulations.</w:t>
      </w:r>
    </w:p>
    <w:bookmarkEnd w:id="22"/>
    <w:bookmarkStart w:id="23" w:name="scope-of-architect-services"/>
    <w:p>
      <w:pPr>
        <w:pStyle w:val="Heading2"/>
      </w:pPr>
      <w:r>
        <w:t xml:space="preserve">3. Scope of Architect Services</w:t>
      </w:r>
    </w:p>
    <w:p>
      <w:pPr>
        <w:pStyle w:val="FirstParagraph"/>
      </w:pPr>
      <w:r>
        <w:t xml:space="preserve">The</w:t>
      </w:r>
      <w:r>
        <w:t xml:space="preserve"> </w:t>
      </w:r>
      <w:r>
        <w:t xml:space="preserve">Architect</w:t>
      </w:r>
      <w:r>
        <w:t xml:space="preserve"> </w:t>
      </w:r>
      <w:r>
        <w:t xml:space="preserve">engagement under this</w:t>
      </w:r>
      <w:r>
        <w:t xml:space="preserve"> </w:t>
      </w:r>
      <w:r>
        <w:t xml:space="preserve">Quotation Estimate</w:t>
      </w:r>
      <w:r>
        <w:t xml:space="preserve"> </w:t>
      </w:r>
      <w:r>
        <w:t xml:space="preserve">includes the following deliverables and services, all tailored to the specific regulatory and cultural context of</w:t>
      </w:r>
      <w:r>
        <w:t xml:space="preserve"> </w:t>
      </w:r>
      <w:r>
        <w:t xml:space="preserve">Japan Osaka</w:t>
      </w:r>
      <w:r>
        <w:t xml:space="preserve">:</w:t>
      </w:r>
    </w:p>
    <w:p>
      <w:pPr>
        <w:numPr>
          <w:ilvl w:val="0"/>
          <w:numId w:val="1001"/>
        </w:numPr>
        <w:pStyle w:val="Compact"/>
      </w:pPr>
      <w:r>
        <w:rPr>
          <w:bCs/>
          <w:b/>
        </w:rPr>
        <w:t xml:space="preserve">Conceptual Design Phase:</w:t>
      </w:r>
      <w:r>
        <w:t xml:space="preserve"> </w:t>
      </w:r>
      <w:r>
        <w:t xml:space="preserve">Site analysis, massing studies, preliminary floor plans, and three-dimensional visualisations. The</w:t>
      </w:r>
      <w:r>
        <w:t xml:space="preserve"> </w:t>
      </w:r>
      <w:r>
        <w:t xml:space="preserve">Architect</w:t>
      </w:r>
      <w:r>
        <w:t xml:space="preserve"> </w:t>
      </w:r>
      <w:r>
        <w:t xml:space="preserve">will conduct two on-site meetings in</w:t>
      </w:r>
      <w:r>
        <w:t xml:space="preserve"> </w:t>
      </w:r>
      <w:r>
        <w:t xml:space="preserve">Japan Osaka</w:t>
      </w:r>
      <w:r>
        <w:t xml:space="preserve"> </w:t>
      </w:r>
      <w:r>
        <w:t xml:space="preserve">to assess topography, solar orientation, and prevailing wind patterns specific to the Nakanoshima waterfront location.</w:t>
      </w:r>
    </w:p>
    <w:p>
      <w:pPr>
        <w:numPr>
          <w:ilvl w:val="0"/>
          <w:numId w:val="1001"/>
        </w:numPr>
        <w:pStyle w:val="Compact"/>
      </w:pPr>
      <w:r>
        <w:rPr>
          <w:bCs/>
          <w:b/>
        </w:rPr>
        <w:t xml:space="preserve">Schematic Design Phase:</w:t>
      </w:r>
      <w:r>
        <w:t xml:space="preserve"> </w:t>
      </w:r>
      <w:r>
        <w:t xml:space="preserve">Development of detailed architectural drawings, material selection, and structural coordination. All designs will be reviewed against Osaka City's urban planning guidelines and seismic design requirements (Shin-Tokyo Standard Seismic Coefficient).</w:t>
      </w:r>
    </w:p>
    <w:p>
      <w:pPr>
        <w:numPr>
          <w:ilvl w:val="0"/>
          <w:numId w:val="1001"/>
        </w:numPr>
        <w:pStyle w:val="Compact"/>
      </w:pPr>
      <w:r>
        <w:rPr>
          <w:bCs/>
          <w:b/>
        </w:rPr>
        <w:t xml:space="preserve">Design Development &amp; Construction Documentation:</w:t>
      </w:r>
      <w:r>
        <w:t xml:space="preserve"> </w:t>
      </w:r>
      <w:r>
        <w:t xml:space="preserve">Production of full construction drawings, specifications, and bill of quantities. The</w:t>
      </w:r>
      <w:r>
        <w:t xml:space="preserve"> </w:t>
      </w:r>
      <w:r>
        <w:t xml:space="preserve">Architect</w:t>
      </w:r>
      <w:r>
        <w:t xml:space="preserve"> </w:t>
      </w:r>
      <w:r>
        <w:t xml:space="preserve">will prepare all documents required for submission to the Osaka City Building Standards Division for permit approval.</w:t>
      </w:r>
    </w:p>
    <w:p>
      <w:pPr>
        <w:numPr>
          <w:ilvl w:val="0"/>
          <w:numId w:val="1001"/>
        </w:numPr>
        <w:pStyle w:val="Compact"/>
      </w:pPr>
      <w:r>
        <w:rPr>
          <w:bCs/>
          <w:b/>
        </w:rPr>
        <w:t xml:space="preserve">Permit &amp; Approval Support:</w:t>
      </w:r>
      <w:r>
        <w:t xml:space="preserve"> </w:t>
      </w:r>
      <w:r>
        <w:t xml:space="preserve">The</w:t>
      </w:r>
      <w:r>
        <w:t xml:space="preserve"> </w:t>
      </w:r>
      <w:r>
        <w:t xml:space="preserve">Architect</w:t>
      </w:r>
      <w:r>
        <w:t xml:space="preserve"> </w:t>
      </w:r>
      <w:r>
        <w:t xml:space="preserve">will liaise directly with the Osaka Metropolitan Bureau of Environment, the Fire Department of Osaka City, and the Land Use Planning Division to secure all necessary building permits and approvals within the</w:t>
      </w:r>
      <w:r>
        <w:t xml:space="preserve"> </w:t>
      </w:r>
      <w:r>
        <w:t xml:space="preserve">Japan Osaka</w:t>
      </w:r>
      <w:r>
        <w:t xml:space="preserve"> </w:t>
      </w:r>
      <w:r>
        <w:t xml:space="preserve">jurisdiction.</w:t>
      </w:r>
    </w:p>
    <w:p>
      <w:pPr>
        <w:numPr>
          <w:ilvl w:val="0"/>
          <w:numId w:val="1001"/>
        </w:numPr>
        <w:pStyle w:val="Compact"/>
      </w:pPr>
      <w:r>
        <w:rPr>
          <w:bCs/>
          <w:b/>
        </w:rPr>
        <w:t xml:space="preserve">Tender &amp; Contractor Selection:</w:t>
      </w:r>
      <w:r>
        <w:t xml:space="preserve"> </w:t>
      </w:r>
      <w:r>
        <w:t xml:space="preserve">Preparation of tender documents, evaluation of contractor bids, and recommendation of the general contractor. The</w:t>
      </w:r>
      <w:r>
        <w:t xml:space="preserve"> </w:t>
      </w:r>
      <w:r>
        <w:t xml:space="preserve">Architect</w:t>
      </w:r>
      <w:r>
        <w:t xml:space="preserve"> </w:t>
      </w:r>
      <w:r>
        <w:t xml:space="preserve">will conduct site inspections of at least three proposed construction firms operating in the</w:t>
      </w:r>
      <w:r>
        <w:t xml:space="preserve"> </w:t>
      </w:r>
      <w:r>
        <w:t xml:space="preserve">Japan Osaka</w:t>
      </w:r>
      <w:r>
        <w:t xml:space="preserve"> </w:t>
      </w:r>
      <w:r>
        <w:t xml:space="preserve">market.</w:t>
      </w:r>
    </w:p>
    <w:p>
      <w:pPr>
        <w:numPr>
          <w:ilvl w:val="0"/>
          <w:numId w:val="1001"/>
        </w:numPr>
        <w:pStyle w:val="Compact"/>
      </w:pPr>
      <w:r>
        <w:rPr>
          <w:bCs/>
          <w:b/>
        </w:rPr>
        <w:t xml:space="preserve">Construction Supervision (Kanshi):</w:t>
      </w:r>
      <w:r>
        <w:t xml:space="preserve"> </w:t>
      </w:r>
      <w:r>
        <w:t xml:space="preserve">Weekly site visits throughout the construction period (estimated 18 months). The</w:t>
      </w:r>
      <w:r>
        <w:t xml:space="preserve"> </w:t>
      </w:r>
      <w:r>
        <w:t xml:space="preserve">Architect</w:t>
      </w:r>
      <w:r>
        <w:t xml:space="preserve"> </w:t>
      </w:r>
      <w:r>
        <w:t xml:space="preserve">will verify compliance with approved drawings, issue progress certificates, and coordinate with the structural engineer and MEP consultants.</w:t>
      </w:r>
    </w:p>
    <w:p>
      <w:pPr>
        <w:numPr>
          <w:ilvl w:val="0"/>
          <w:numId w:val="1001"/>
        </w:numPr>
        <w:pStyle w:val="Compact"/>
      </w:pPr>
      <w:r>
        <w:rPr>
          <w:bCs/>
          <w:b/>
        </w:rPr>
        <w:t xml:space="preserve">Practical Completion &amp; Handover:</w:t>
      </w:r>
      <w:r>
        <w:t xml:space="preserve"> </w:t>
      </w:r>
      <w:r>
        <w:t xml:space="preserve">Final inspection, punch-list resolution, as-built documentation, and delivery of the complete architectural archive to the client.</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Cost (JPY)</w:t>
            </w:r>
          </w:p>
        </w:tc>
      </w:tr>
      <w:tr>
        <w:tc>
          <w:tcPr/>
          <w:p>
            <w:pPr>
              <w:pStyle w:val="Compact"/>
              <w:jc w:val="left"/>
            </w:pPr>
            <w:r>
              <w:t xml:space="preserve">01</w:t>
            </w:r>
          </w:p>
        </w:tc>
        <w:tc>
          <w:tcPr/>
          <w:p>
            <w:pPr>
              <w:pStyle w:val="Compact"/>
              <w:jc w:val="left"/>
            </w:pPr>
            <w:r>
              <w:t xml:space="preserve">Conceptual Design &amp; Site Analysis (Japan Osaka)</w:t>
            </w:r>
          </w:p>
        </w:tc>
        <w:tc>
          <w:tcPr/>
          <w:p>
            <w:pPr>
              <w:pStyle w:val="Compact"/>
              <w:jc w:val="left"/>
            </w:pPr>
            <w:r>
              <w:t xml:space="preserve">6 weeks</w:t>
            </w:r>
          </w:p>
        </w:tc>
        <w:tc>
          <w:tcPr/>
          <w:p>
            <w:pPr>
              <w:pStyle w:val="Compact"/>
              <w:jc w:val="left"/>
            </w:pPr>
            <w:r>
              <w:t xml:space="preserve">2,800,000</w:t>
            </w:r>
          </w:p>
        </w:tc>
      </w:tr>
      <w:tr>
        <w:tc>
          <w:tcPr/>
          <w:p>
            <w:pPr>
              <w:pStyle w:val="Compact"/>
              <w:jc w:val="left"/>
            </w:pPr>
            <w:r>
              <w:t xml:space="preserve">02</w:t>
            </w:r>
          </w:p>
        </w:tc>
        <w:tc>
          <w:tcPr/>
          <w:p>
            <w:pPr>
              <w:pStyle w:val="Compact"/>
              <w:jc w:val="left"/>
            </w:pPr>
            <w:r>
              <w:t xml:space="preserve">Schematic Design &amp; Structural Coordination</w:t>
            </w:r>
          </w:p>
        </w:tc>
        <w:tc>
          <w:tcPr/>
          <w:p>
            <w:pPr>
              <w:pStyle w:val="Compact"/>
              <w:jc w:val="left"/>
            </w:pPr>
            <w:r>
              <w:t xml:space="preserve">8 weeks</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Design Development &amp; Construction Drawings</w:t>
            </w:r>
          </w:p>
        </w:tc>
        <w:tc>
          <w:tcPr/>
          <w:p>
            <w:pPr>
              <w:pStyle w:val="Compact"/>
              <w:jc w:val="left"/>
            </w:pPr>
            <w:r>
              <w:t xml:space="preserve">10 weeks</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Permit Submission &amp; Regulatory Liaison (Osaka City)</w:t>
            </w:r>
          </w:p>
        </w:tc>
        <w:tc>
          <w:tcPr/>
          <w:p>
            <w:pPr>
              <w:pStyle w:val="Compact"/>
              <w:jc w:val="left"/>
            </w:pPr>
            <w:r>
              <w:t xml:space="preserve">8 weeks</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Tender Documentation &amp; Contractor Evaluation</w:t>
            </w:r>
          </w:p>
        </w:tc>
        <w:tc>
          <w:tcPr/>
          <w:p>
            <w:pPr>
              <w:pStyle w:val="Compact"/>
              <w:jc w:val="left"/>
            </w:pPr>
            <w:r>
              <w:t xml:space="preserve">4 weeks</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Construction Supervision (Kanshi) – 18 months</w:t>
            </w:r>
          </w:p>
        </w:tc>
        <w:tc>
          <w:tcPr/>
          <w:p>
            <w:pPr>
              <w:pStyle w:val="Compact"/>
              <w:jc w:val="left"/>
            </w:pPr>
            <w:r>
              <w:t xml:space="preserve">18 months</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Practical Completion, As-Built Drawings &amp; Handover</w:t>
            </w:r>
          </w:p>
        </w:tc>
        <w:tc>
          <w:tcPr/>
          <w:p>
            <w:pPr>
              <w:pStyle w:val="Compact"/>
              <w:jc w:val="left"/>
            </w:pPr>
            <w:r>
              <w:t xml:space="preserve">4 weeks</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3D Visualisation &amp; VR Presentation Package</w:t>
            </w:r>
          </w:p>
        </w:tc>
        <w:tc>
          <w:tcPr/>
          <w:p>
            <w:pPr>
              <w:pStyle w:val="Compact"/>
              <w:jc w:val="left"/>
            </w:pPr>
            <w:r>
              <w:t xml:space="preserve">3 weeks</w:t>
            </w:r>
          </w:p>
        </w:tc>
        <w:tc>
          <w:tcPr/>
          <w:p>
            <w:pPr>
              <w:pStyle w:val="Compact"/>
              <w:jc w:val="left"/>
            </w:pPr>
            <w:r>
              <w:t xml:space="preserve">950,000</w:t>
            </w:r>
          </w:p>
        </w:tc>
      </w:tr>
      <w:tr>
        <w:tc>
          <w:tcPr/>
          <w:p>
            <w:pPr>
              <w:pStyle w:val="Compact"/>
              <w:jc w:val="left"/>
            </w:pPr>
            <w:r>
              <w:t xml:space="preserve">09</w:t>
            </w:r>
          </w:p>
        </w:tc>
        <w:tc>
          <w:tcPr/>
          <w:p>
            <w:pPr>
              <w:pStyle w:val="Compact"/>
              <w:jc w:val="left"/>
            </w:pPr>
            <w:r>
              <w:t xml:space="preserve">Interior Design Coordination (Common Areas)</w:t>
            </w:r>
          </w:p>
        </w:tc>
        <w:tc>
          <w:tcPr/>
          <w:p>
            <w:pPr>
              <w:pStyle w:val="Compact"/>
              <w:jc w:val="left"/>
            </w:pPr>
            <w:r>
              <w:t xml:space="preserve">6 weeks</w:t>
            </w:r>
          </w:p>
        </w:tc>
        <w:tc>
          <w:tcPr/>
          <w:p>
            <w:pPr>
              <w:pStyle w:val="Compact"/>
              <w:jc w:val="left"/>
            </w:pPr>
            <w:r>
              <w:t xml:space="preserve">2,400,000</w:t>
            </w:r>
          </w:p>
        </w:tc>
      </w:tr>
      <w:tr>
        <w:tc>
          <w:tcPr/>
          <w:p>
            <w:pPr>
              <w:pStyle w:val="Compact"/>
              <w:jc w:val="left"/>
            </w:pPr>
            <w:r>
              <w:t xml:space="preserve">10</w:t>
            </w:r>
          </w:p>
        </w:tc>
        <w:tc>
          <w:tcPr/>
          <w:p>
            <w:pPr>
              <w:pStyle w:val="Compact"/>
              <w:jc w:val="left"/>
            </w:pPr>
            <w:r>
              <w:t xml:space="preserve">Landscape &amp; Exterior Hardscape Design (Osaka context)</w:t>
            </w:r>
          </w:p>
        </w:tc>
        <w:tc>
          <w:tcPr/>
          <w:p>
            <w:pPr>
              <w:pStyle w:val="Compact"/>
              <w:jc w:val="left"/>
            </w:pPr>
            <w:r>
              <w:t xml:space="preserve">5 weeks</w:t>
            </w:r>
          </w:p>
        </w:tc>
        <w:tc>
          <w:tcPr/>
          <w:p>
            <w:pPr>
              <w:pStyle w:val="Compact"/>
              <w:jc w:val="left"/>
            </w:pPr>
            <w:r>
              <w:t xml:space="preserve">1,650,000</w:t>
            </w:r>
          </w:p>
        </w:tc>
      </w:tr>
      <w:tr>
        <w:tc>
          <w:tcPr>
            <w:gridSpan w:val="3"/>
          </w:tcPr>
          <w:p>
            <w:pPr>
              <w:pStyle w:val="Compact"/>
              <w:jc w:val="left"/>
            </w:pPr>
            <w:r>
              <w:t xml:space="preserve">Subtotal (Architect Professional Fees)</w:t>
            </w:r>
          </w:p>
        </w:tc>
        <w:tc>
          <w:tcPr/>
          <w:p>
            <w:pPr>
              <w:pStyle w:val="Compact"/>
              <w:jc w:val="left"/>
            </w:pPr>
            <w:r>
              <w:t xml:space="preserve">32,600,000</w:t>
            </w:r>
          </w:p>
        </w:tc>
      </w:tr>
      <w:tr>
        <w:tc>
          <w:tcPr>
            <w:gridSpan w:val="3"/>
          </w:tcPr>
          <w:p>
            <w:pPr>
              <w:pStyle w:val="Compact"/>
              <w:jc w:val="left"/>
            </w:pPr>
            <w:r>
              <w:t xml:space="preserve">Consumption Tax (10% – Japan)</w:t>
            </w:r>
          </w:p>
        </w:tc>
        <w:tc>
          <w:tcPr/>
          <w:p>
            <w:pPr>
              <w:pStyle w:val="Compact"/>
              <w:jc w:val="left"/>
            </w:pPr>
            <w:r>
              <w:t xml:space="preserve">3,260,000</w:t>
            </w:r>
          </w:p>
        </w:tc>
      </w:tr>
      <w:tr>
        <w:tc>
          <w:tcPr>
            <w:gridSpan w:val="3"/>
          </w:tcPr>
          <w:p>
            <w:pPr>
              <w:pStyle w:val="Compact"/>
              <w:jc w:val="left"/>
            </w:pPr>
            <w:r>
              <w:t xml:space="preserve">TOTAL QUOTATION ESTIMATE AMOUNT</w:t>
            </w:r>
          </w:p>
        </w:tc>
        <w:tc>
          <w:tcPr/>
          <w:p>
            <w:pPr>
              <w:pStyle w:val="Compact"/>
              <w:jc w:val="left"/>
            </w:pPr>
            <w:r>
              <w:t xml:space="preserve">35,860,000</w:t>
            </w:r>
          </w:p>
        </w:tc>
      </w:tr>
    </w:tbl>
    <w:p>
      <w:pPr>
        <w:pStyle w:val="BodyText"/>
      </w:pPr>
      <w:r>
        <w:rPr>
          <w:iCs/>
          <w:i/>
        </w:rPr>
        <w:t xml:space="preserve">All amounts are quoted in Japanese Yen (JPY). The total</w:t>
      </w:r>
      <w:r>
        <w:rPr>
          <w:iCs/>
          <w:i/>
        </w:rPr>
        <w:t xml:space="preserve"> </w:t>
      </w:r>
      <w:r>
        <w:rPr>
          <w:iCs/>
          <w:i/>
        </w:rPr>
        <w:t xml:space="preserve">Quotation Estimate</w:t>
      </w:r>
      <w:r>
        <w:rPr>
          <w:iCs/>
          <w:i/>
        </w:rPr>
        <w:t xml:space="preserve"> </w:t>
      </w:r>
      <w:r>
        <w:rPr>
          <w:iCs/>
          <w:i/>
        </w:rPr>
        <w:t xml:space="preserve">of ¥35,860,000 includes the 10% national consumption tax applicable in Japan. This figure does not include third-party costs such as structural engineering fees, geotechnical surveys, environmental impact assessments, or government filing fees, which are estimated separately at ¥4,200,000 and will be billed at actual cost upon client authorisation.</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(JPY, incl. tax)</w:t>
            </w:r>
          </w:p>
        </w:tc>
      </w:tr>
      <w:tr>
        <w:tc>
          <w:tcPr/>
          <w:p>
            <w:pPr>
              <w:pStyle w:val="Compact"/>
              <w:jc w:val="left"/>
            </w:pPr>
            <w:r>
              <w:t xml:space="preserve">Contract Execution &amp; Mobilisation</w:t>
            </w:r>
          </w:p>
        </w:tc>
        <w:tc>
          <w:tcPr/>
          <w:p>
            <w:pPr>
              <w:pStyle w:val="Compact"/>
              <w:jc w:val="left"/>
            </w:pPr>
            <w:r>
              <w:t xml:space="preserve">15%</w:t>
            </w:r>
          </w:p>
        </w:tc>
        <w:tc>
          <w:tcPr/>
          <w:p>
            <w:pPr>
              <w:pStyle w:val="Compact"/>
              <w:jc w:val="left"/>
            </w:pPr>
            <w:r>
              <w:t xml:space="preserve">5,379,000</w:t>
            </w:r>
          </w:p>
        </w:tc>
      </w:tr>
      <w:tr>
        <w:tc>
          <w:tcPr/>
          <w:p>
            <w:pPr>
              <w:pStyle w:val="Compact"/>
              <w:jc w:val="left"/>
            </w:pPr>
            <w:r>
              <w:t xml:space="preserve">Completion of Schematic Design</w:t>
            </w:r>
          </w:p>
        </w:tc>
        <w:tc>
          <w:tcPr/>
          <w:p>
            <w:pPr>
              <w:pStyle w:val="Compact"/>
              <w:jc w:val="left"/>
            </w:pPr>
            <w:r>
              <w:t xml:space="preserve">20%</w:t>
            </w:r>
          </w:p>
        </w:tc>
        <w:tc>
          <w:tcPr/>
          <w:p>
            <w:pPr>
              <w:pStyle w:val="Compact"/>
              <w:jc w:val="left"/>
            </w:pPr>
            <w:r>
              <w:t xml:space="preserve">7,172,000</w:t>
            </w:r>
          </w:p>
        </w:tc>
      </w:tr>
      <w:tr>
        <w:tc>
          <w:tcPr/>
          <w:p>
            <w:pPr>
              <w:pStyle w:val="Compact"/>
              <w:jc w:val="left"/>
            </w:pPr>
            <w:r>
              <w:t xml:space="preserve">Submission of Construction Drawings</w:t>
            </w:r>
          </w:p>
        </w:tc>
        <w:tc>
          <w:tcPr/>
          <w:p>
            <w:pPr>
              <w:pStyle w:val="Compact"/>
              <w:jc w:val="left"/>
            </w:pPr>
            <w:r>
              <w:t xml:space="preserve">25%</w:t>
            </w:r>
          </w:p>
        </w:tc>
        <w:tc>
          <w:tcPr/>
          <w:p>
            <w:pPr>
              <w:pStyle w:val="Compact"/>
              <w:jc w:val="left"/>
            </w:pPr>
            <w:r>
              <w:t xml:space="preserve">8,965,000</w:t>
            </w:r>
          </w:p>
        </w:tc>
      </w:tr>
      <w:tr>
        <w:tc>
          <w:tcPr/>
          <w:p>
            <w:pPr>
              <w:pStyle w:val="Compact"/>
              <w:jc w:val="left"/>
            </w:pPr>
            <w:r>
              <w:t xml:space="preserve">Commencement of Construction Supervision</w:t>
            </w:r>
          </w:p>
        </w:tc>
        <w:tc>
          <w:tcPr/>
          <w:p>
            <w:pPr>
              <w:pStyle w:val="Compact"/>
              <w:jc w:val="left"/>
            </w:pPr>
            <w:r>
              <w:t xml:space="preserve">20%</w:t>
            </w:r>
          </w:p>
        </w:tc>
        <w:tc>
          <w:tcPr/>
          <w:p>
            <w:pPr>
              <w:pStyle w:val="Compact"/>
              <w:jc w:val="left"/>
            </w:pPr>
            <w:r>
              <w:t xml:space="preserve">7,172,000</w:t>
            </w:r>
          </w:p>
        </w:tc>
      </w:tr>
      <w:tr>
        <w:tc>
          <w:tcPr/>
          <w:p>
            <w:pPr>
              <w:pStyle w:val="Compact"/>
              <w:jc w:val="left"/>
            </w:pPr>
            <w:r>
              <w:t xml:space="preserve">Practical Completion &amp; Final Handover</w:t>
            </w:r>
          </w:p>
        </w:tc>
        <w:tc>
          <w:tcPr/>
          <w:p>
            <w:pPr>
              <w:pStyle w:val="Compact"/>
              <w:jc w:val="left"/>
            </w:pPr>
            <w:r>
              <w:t xml:space="preserve">20%</w:t>
            </w:r>
          </w:p>
        </w:tc>
        <w:tc>
          <w:tcPr/>
          <w:p>
            <w:pPr>
              <w:pStyle w:val="Compact"/>
              <w:jc w:val="left"/>
            </w:pPr>
            <w:r>
              <w:t xml:space="preserve">7,172,000</w:t>
            </w:r>
          </w:p>
        </w:tc>
      </w:tr>
    </w:tbl>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the</w:t>
      </w:r>
      <w:r>
        <w:t xml:space="preserve"> </w:t>
      </w:r>
      <w:r>
        <w:t xml:space="preserve">Architect</w:t>
      </w:r>
      <w:r>
        <w:t xml:space="preserve"> </w:t>
      </w:r>
      <w:r>
        <w:t xml:space="preserve">reserves the right to revise fees to reflect changes in market conditions in</w:t>
      </w:r>
      <w:r>
        <w:t xml:space="preserve"> </w:t>
      </w:r>
      <w:r>
        <w:t xml:space="preserve">Japan Osaka</w:t>
      </w:r>
      <w:r>
        <w:t xml:space="preserve">.</w:t>
      </w:r>
    </w:p>
    <w:p>
      <w:pPr>
        <w:numPr>
          <w:ilvl w:val="0"/>
          <w:numId w:val="1002"/>
        </w:numPr>
        <w:pStyle w:val="Compact"/>
      </w:pPr>
      <w:r>
        <w:t xml:space="preserve">All intellectual property rights in design documents, drawings, and visualisations produced by the</w:t>
      </w:r>
      <w:r>
        <w:t xml:space="preserve"> </w:t>
      </w:r>
      <w:r>
        <w:t xml:space="preserve">Architect</w:t>
      </w:r>
      <w:r>
        <w:t xml:space="preserve"> </w:t>
      </w:r>
      <w:r>
        <w:t xml:space="preserve">remain with Kuroda &amp; Associates until full payment is received.</w:t>
      </w:r>
    </w:p>
    <w:p>
      <w:pPr>
        <w:numPr>
          <w:ilvl w:val="0"/>
          <w:numId w:val="1002"/>
        </w:numPr>
        <w:pStyle w:val="Compact"/>
      </w:pPr>
      <w:r>
        <w:t xml:space="preserve">The</w:t>
      </w:r>
      <w:r>
        <w:t xml:space="preserve"> </w:t>
      </w:r>
      <w:r>
        <w:t xml:space="preserve">Architect</w:t>
      </w:r>
      <w:r>
        <w:t xml:space="preserve"> </w:t>
      </w:r>
      <w:r>
        <w:t xml:space="preserve">shall maintain professional indemnity insurance with a minimum coverage of ¥500,000,000, as required under the Japan Architects Association guidelines.</w:t>
      </w:r>
    </w:p>
    <w:p>
      <w:pPr>
        <w:numPr>
          <w:ilvl w:val="0"/>
          <w:numId w:val="1002"/>
        </w:numPr>
        <w:pStyle w:val="Compact"/>
      </w:pPr>
      <w:r>
        <w:t xml:space="preserve">Any variation in scope exceeding 10% of the original</w:t>
      </w:r>
      <w:r>
        <w:t xml:space="preserve"> </w:t>
      </w:r>
      <w:r>
        <w:t xml:space="preserve">Quotation Estimate</w:t>
      </w:r>
      <w:r>
        <w:t xml:space="preserve"> </w:t>
      </w:r>
      <w:r>
        <w:t xml:space="preserve">value shall require a written amendment signed by both parties.</w:t>
      </w:r>
    </w:p>
    <w:p>
      <w:pPr>
        <w:numPr>
          <w:ilvl w:val="0"/>
          <w:numId w:val="1002"/>
        </w:numPr>
        <w:pStyle w:val="Compact"/>
      </w:pPr>
      <w:r>
        <w:t xml:space="preserve">Disputes arising from this engagement shall be resolved through mediation under the Japan Construction Arbitration Association, with jurisdiction in Osaka, Japan.</w:t>
      </w:r>
    </w:p>
    <w:p>
      <w:pPr>
        <w:numPr>
          <w:ilvl w:val="0"/>
          <w:numId w:val="1002"/>
        </w:numPr>
        <w:pStyle w:val="Compact"/>
      </w:pPr>
      <w:r>
        <w:t xml:space="preserve">The</w:t>
      </w:r>
      <w:r>
        <w:t xml:space="preserve"> </w:t>
      </w:r>
      <w:r>
        <w:t xml:space="preserve">Architect</w:t>
      </w:r>
      <w:r>
        <w:t xml:space="preserve"> </w:t>
      </w:r>
      <w:r>
        <w:t xml:space="preserve">shall comply with all data protection obligations under the Act on the Protection of Personal Information (APPI) of Japan.</w:t>
      </w:r>
    </w:p>
    <w:bookmarkEnd w:id="26"/>
    <w:bookmarkStart w:id="27" w:name="acceptance-authorisation"/>
    <w:p>
      <w:pPr>
        <w:pStyle w:val="Heading2"/>
      </w:pPr>
      <w:r>
        <w:t xml:space="preserve">7. Acceptance &amp;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Japan Osaka</w:t>
      </w:r>
      <w:r>
        <w:t xml:space="preserve"> </w:t>
      </w:r>
      <w:r>
        <w:t xml:space="preserve">as set forth herein. This signature constitutes a binding agreement to proceed with the project under the terms described in this document.</w:t>
      </w:r>
    </w:p>
    <w:p>
      <w:pPr>
        <w:pStyle w:val="BodyText"/>
      </w:pPr>
      <w:r>
        <w:rPr>
          <w:bCs/>
          <w:b/>
        </w:rPr>
        <w:t xml:space="preserve">For Kuroda &amp; Associates Architectural Studio</w:t>
      </w:r>
    </w:p>
    <w:p>
      <w:pPr>
        <w:pStyle w:val="BodyText"/>
      </w:pPr>
      <w:r>
        <w:t xml:space="preserve">Name: Tetsuo Kuroda, Registered Architect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Osaka Riverside Development Co., Ltd.</w:t>
      </w:r>
    </w:p>
    <w:p>
      <w:pPr>
        <w:pStyle w:val="BodyText"/>
      </w:pPr>
      <w:r>
        <w:t xml:space="preserve">Name: Yuki Tanaka, 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Kuroda &amp; Associates Architectural Studio | 5F, Nakanoshima Tower, 3-1-1 Nakanoshima, Kita-ku, Osaka 530-0004, Japan</w:t>
      </w:r>
    </w:p>
    <w:p>
      <w:pPr>
        <w:pStyle w:val="BodyText"/>
      </w:pPr>
      <w:r>
        <w:t xml:space="preserve">Tel: +81-6-6362-4410 | Email: info@kuroda-architects.jp | Japan Architect Registration No. 48291</w:t>
      </w:r>
    </w:p>
    <w:p>
      <w:pPr>
        <w:pStyle w:val="BodyText"/>
      </w:pPr>
      <w:r>
        <w:t xml:space="preserve">This Quotation Estimate document is confidential and intended solely for the named client.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Japan Osaka</dc:title>
  <dc:creator/>
  <dc:language>en</dc:language>
  <cp:keywords/>
  <dcterms:created xsi:type="dcterms:W3CDTF">2026-10-10T02:23:02Z</dcterms:created>
  <dcterms:modified xsi:type="dcterms:W3CDTF">2026-10-10T02:23:02Z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