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meridian-architectural-design-sdn.-bhd."/>
    <w:p>
      <w:pPr>
        <w:pStyle w:val="Heading1"/>
      </w:pPr>
      <w:r>
        <w:t xml:space="preserve">Meridian Architectural Design Sdn. Bhd.</w:t>
      </w:r>
    </w:p>
    <w:p>
      <w:pPr>
        <w:pStyle w:val="FirstParagraph"/>
      </w:pPr>
      <w:r>
        <w:t xml:space="preserve">Lot 12, Level 8, Menara Sentral, Jalan Stesen Sentral 5</w:t>
      </w:r>
    </w:p>
    <w:p>
      <w:pPr>
        <w:pStyle w:val="BodyText"/>
      </w:pPr>
      <w:r>
        <w:t xml:space="preserve">50470 Kuala Lumpur, Wilayah Persekutuan, Malaysia</w:t>
      </w:r>
    </w:p>
    <w:p>
      <w:pPr>
        <w:pStyle w:val="BodyText"/>
      </w:pPr>
      <w:r>
        <w:t xml:space="preserve">Tel: +603-2181 4567 | Email: enquiries@meridianarch.com.my</w:t>
      </w:r>
    </w:p>
    <w:p>
      <w:pPr>
        <w:pStyle w:val="BodyText"/>
      </w:pPr>
      <w:r>
        <w:t xml:space="preserve">Registration No: 201501234567 (1234567-A)</w:t>
      </w:r>
    </w:p>
    <w:p>
      <w:pPr>
        <w:pStyle w:val="BodyText"/>
      </w:pPr>
      <w:r>
        <w:t xml:space="preserve">Board of Architects Malaysia (ABM) Reg. No: A-2015-0892</w:t>
      </w:r>
    </w:p>
    <w:bookmarkEnd w:id="20"/>
    <w:bookmarkStart w:id="21" w:name="quotation-estimate"/>
    <w:p>
      <w:pPr>
        <w:pStyle w:val="Heading2"/>
      </w:pPr>
      <w:r>
        <w:t xml:space="preserve">QUOTATION ESTIMATE</w:t>
      </w:r>
    </w:p>
    <w:p>
      <w:pPr>
        <w:pStyle w:val="FirstParagraph"/>
      </w:pPr>
      <w:r>
        <w:rPr>
          <w:bCs/>
          <w:b/>
        </w:rPr>
        <w:t xml:space="preserve">Quotation No:</w:t>
      </w:r>
      <w:r>
        <w:t xml:space="preserve"> </w:t>
      </w:r>
      <w:r>
        <w:t xml:space="preserve">QE/2025/KL/0472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w:t>
      </w:r>
      <w:r>
        <w:t xml:space="preserve"> </w:t>
      </w:r>
      <w:r>
        <w:t xml:space="preserve">KL-RES-2025-089</w:t>
      </w:r>
    </w:p>
    <w:bookmarkEnd w:id="21"/>
    <w:p>
      <w:pPr>
        <w:pStyle w:val="BodyText"/>
      </w:pPr>
      <w:r>
        <w:t xml:space="preserve">CLIENT INFORMATION</w:t>
      </w:r>
    </w:p>
    <w:bookmarkStart w:id="22" w:name="prepared-for"/>
    <w:p>
      <w:pPr>
        <w:pStyle w:val="Heading3"/>
      </w:pPr>
      <w:r>
        <w:t xml:space="preserve">Prepared For</w:t>
      </w:r>
    </w:p>
    <w:p>
      <w:pPr>
        <w:pStyle w:val="FirstParagraph"/>
      </w:pPr>
      <w:r>
        <w:rPr>
          <w:bCs/>
          <w:b/>
        </w:rPr>
        <w:t xml:space="preserve">Name:</w:t>
      </w:r>
      <w:r>
        <w:t xml:space="preserve"> </w:t>
      </w:r>
      <w:r>
        <w:t xml:space="preserve">Tan Wei Keat</w:t>
      </w:r>
    </w:p>
    <w:p>
      <w:pPr>
        <w:pStyle w:val="BodyText"/>
      </w:pPr>
      <w:r>
        <w:rPr>
          <w:bCs/>
          <w:b/>
        </w:rPr>
        <w:t xml:space="preserve">Company:</w:t>
      </w:r>
      <w:r>
        <w:t xml:space="preserve"> </w:t>
      </w:r>
      <w:r>
        <w:t xml:space="preserve">Sinar Property Holdings Sdn. Bhd.</w:t>
      </w:r>
    </w:p>
    <w:p>
      <w:pPr>
        <w:pStyle w:val="BodyText"/>
      </w:pPr>
      <w:r>
        <w:rPr>
          <w:bCs/>
          <w:b/>
        </w:rPr>
        <w:t xml:space="preserve">Address:</w:t>
      </w:r>
      <w:r>
        <w:t xml:space="preserve"> </w:t>
      </w:r>
      <w:r>
        <w:t xml:space="preserve">Unit 21-03, The Exchange TRX, Jalan P. Ramlee, 50250 Kuala Lumpur, Malaysia</w:t>
      </w:r>
    </w:p>
    <w:p>
      <w:pPr>
        <w:pStyle w:val="BodyText"/>
      </w:pPr>
      <w:r>
        <w:rPr>
          <w:bCs/>
          <w:b/>
        </w:rPr>
        <w:t xml:space="preserve">Contact:</w:t>
      </w:r>
      <w:r>
        <w:t xml:space="preserve"> </w:t>
      </w:r>
      <w:r>
        <w:t xml:space="preserve">+6012-345 6789</w:t>
      </w:r>
    </w:p>
    <w:p>
      <w:pPr>
        <w:pStyle w:val="BodyText"/>
      </w:pPr>
      <w:r>
        <w:rPr>
          <w:bCs/>
          <w:b/>
        </w:rPr>
        <w:t xml:space="preserve">Email:</w:t>
      </w:r>
      <w:r>
        <w:t xml:space="preserve"> </w:t>
      </w:r>
      <w:r>
        <w:t xml:space="preserve">tanwk@sinarproperty.com.my</w:t>
      </w:r>
    </w:p>
    <w:bookmarkEnd w:id="22"/>
    <w:bookmarkStart w:id="23" w:name="project-details"/>
    <w:p>
      <w:pPr>
        <w:pStyle w:val="Heading3"/>
      </w:pPr>
      <w:r>
        <w:t xml:space="preserve">Project Details</w:t>
      </w:r>
    </w:p>
    <w:p>
      <w:pPr>
        <w:pStyle w:val="FirstParagraph"/>
      </w:pPr>
      <w:r>
        <w:rPr>
          <w:bCs/>
          <w:b/>
        </w:rPr>
        <w:t xml:space="preserve">Project Title:</w:t>
      </w:r>
      <w:r>
        <w:t xml:space="preserve"> </w:t>
      </w:r>
      <w:r>
        <w:t xml:space="preserve">Sinar Residences – Mixed-Use Development</w:t>
      </w:r>
    </w:p>
    <w:p>
      <w:pPr>
        <w:pStyle w:val="BodyText"/>
      </w:pPr>
      <w:r>
        <w:rPr>
          <w:bCs/>
          <w:b/>
        </w:rPr>
        <w:t xml:space="preserve">Location:</w:t>
      </w:r>
      <w:r>
        <w:t xml:space="preserve"> </w:t>
      </w:r>
      <w:r>
        <w:t xml:space="preserve">Jalan Ampang, 50450 Kuala Lumpur, Malaysia</w:t>
      </w:r>
    </w:p>
    <w:p>
      <w:pPr>
        <w:pStyle w:val="BodyText"/>
      </w:pPr>
      <w:r>
        <w:rPr>
          <w:bCs/>
          <w:b/>
        </w:rPr>
        <w:t xml:space="preserve">Site Area:</w:t>
      </w:r>
      <w:r>
        <w:t xml:space="preserve"> </w:t>
      </w:r>
      <w:r>
        <w:t xml:space="preserve">4,200 sqm</w:t>
      </w:r>
    </w:p>
    <w:p>
      <w:pPr>
        <w:pStyle w:val="BodyText"/>
      </w:pPr>
      <w:r>
        <w:rPr>
          <w:bCs/>
          <w:b/>
        </w:rPr>
        <w:t xml:space="preserve">Gross Floor Area:</w:t>
      </w:r>
      <w:r>
        <w:t xml:space="preserve"> </w:t>
      </w:r>
      <w:r>
        <w:t xml:space="preserve">28,500 sqm</w:t>
      </w:r>
    </w:p>
    <w:p>
      <w:pPr>
        <w:pStyle w:val="BodyText"/>
      </w:pPr>
      <w:r>
        <w:rPr>
          <w:bCs/>
          <w:b/>
        </w:rPr>
        <w:t xml:space="preserve">Building Type:</w:t>
      </w:r>
      <w:r>
        <w:t xml:space="preserve"> </w:t>
      </w:r>
      <w:r>
        <w:t xml:space="preserve">18-storey mixed-use (retail + residential)</w:t>
      </w:r>
    </w:p>
    <w:bookmarkEnd w:id="23"/>
    <w:p>
      <w:pPr>
        <w:pStyle w:val="BodyText"/>
      </w:pPr>
      <w:r>
        <w:t xml:space="preserve">SCOPE OF ARCHITECT SERVICES</w:t>
      </w:r>
    </w:p>
    <w:p>
      <w:pPr>
        <w:pStyle w:val="BodyText"/>
      </w:pPr>
      <w:r>
        <w:t xml:space="preserve">This</w:t>
      </w:r>
      <w:r>
        <w:t xml:space="preserve"> </w:t>
      </w:r>
      <w:r>
        <w:t xml:space="preserve">Quotation Estimate</w:t>
      </w:r>
      <w:r>
        <w:t xml:space="preserve"> </w:t>
      </w:r>
      <w:r>
        <w:t xml:space="preserve">is issued by Meridian Architectural Design Sdn. Bhd. to outline the professional</w:t>
      </w:r>
      <w:r>
        <w:t xml:space="preserve"> </w:t>
      </w:r>
      <w:r>
        <w:t xml:space="preserve">Architect</w:t>
      </w:r>
      <w:r>
        <w:t xml:space="preserve"> </w:t>
      </w:r>
      <w:r>
        <w:t xml:space="preserve">services to be rendered for the Sinar Residences project located in</w:t>
      </w:r>
      <w:r>
        <w:t xml:space="preserve"> </w:t>
      </w:r>
      <w:r>
        <w:t xml:space="preserve">Malaysia Kuala Lumpur</w:t>
      </w:r>
      <w:r>
        <w:t xml:space="preserve">. The scope encompasses all phases of architectural design and documentation in compliance with the Uniform Building By-Laws (UBBL), the Building Act 1984, and the Kuala Lumpur City Hall (DBKL) planning guidelines. Our</w:t>
      </w:r>
      <w:r>
        <w:t xml:space="preserve"> </w:t>
      </w:r>
      <w:r>
        <w:t xml:space="preserve">Architect</w:t>
      </w:r>
      <w:r>
        <w:t xml:space="preserve"> </w:t>
      </w:r>
      <w:r>
        <w:t xml:space="preserve">team, led by a Registered</w:t>
      </w:r>
      <w:r>
        <w:t xml:space="preserve"> </w:t>
      </w:r>
      <w:r>
        <w:t xml:space="preserve">Architect</w:t>
      </w:r>
      <w:r>
        <w:t xml:space="preserve"> </w:t>
      </w:r>
      <w:r>
        <w:t xml:space="preserve">with the Board of</w:t>
      </w:r>
      <w:r>
        <w:t xml:space="preserve"> </w:t>
      </w:r>
      <w:r>
        <w:t xml:space="preserve">Architects</w:t>
      </w:r>
      <w:r>
        <w:t xml:space="preserve"> </w:t>
      </w:r>
      <w:r>
        <w:t xml:space="preserve">Malaysia, will provide comprehensive design, development, and construction supervision services throughout the project lifecycle in</w:t>
      </w:r>
      <w:r>
        <w:t xml:space="preserve"> </w:t>
      </w:r>
      <w:r>
        <w:t xml:space="preserve">Malaysia Kuala Lumpur</w:t>
      </w:r>
      <w:r>
        <w:t xml:space="preserve">.</w:t>
      </w:r>
    </w:p>
    <w:p>
      <w:pPr>
        <w:pStyle w:val="BodyText"/>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Architect Services</w:t>
            </w:r>
          </w:p>
        </w:tc>
        <w:tc>
          <w:tcPr/>
          <w:p>
            <w:pPr>
              <w:pStyle w:val="Compact"/>
              <w:jc w:val="left"/>
            </w:pPr>
            <w:r>
              <w:t xml:space="preserve">Phase / Duration</w:t>
            </w:r>
          </w:p>
        </w:tc>
        <w:tc>
          <w:tcPr/>
          <w:p>
            <w:pPr>
              <w:pStyle w:val="Compact"/>
              <w:jc w:val="left"/>
            </w:pPr>
            <w:r>
              <w:t xml:space="preserve">Unit</w:t>
            </w:r>
          </w:p>
        </w:tc>
        <w:tc>
          <w:tcPr/>
          <w:p>
            <w:pPr>
              <w:pStyle w:val="Compact"/>
              <w:jc w:val="left"/>
            </w:pPr>
            <w:r>
              <w:t xml:space="preserve">Rate (RM)</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Pre-Design &amp; Feasibility Study – Site analysis, zoning assessment, concept development, and preliminary massing studies for the</w:t>
            </w:r>
            <w:r>
              <w:t xml:space="preserve"> </w:t>
            </w:r>
            <w:r>
              <w:t xml:space="preserve">Architect</w:t>
            </w:r>
            <w:r>
              <w:t xml:space="preserve"> </w:t>
            </w:r>
            <w:r>
              <w:t xml:space="preserve">design in</w:t>
            </w:r>
            <w:r>
              <w:t xml:space="preserve"> </w:t>
            </w:r>
            <w:r>
              <w:t xml:space="preserve">Malaysia Kuala Lumpur</w:t>
            </w:r>
          </w:p>
        </w:tc>
        <w:tc>
          <w:tcPr/>
          <w:p>
            <w:pPr>
              <w:pStyle w:val="Compact"/>
              <w:jc w:val="left"/>
            </w:pPr>
            <w:r>
              <w:t xml:space="preserve">Phase 1 (4 weeks)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Schematic Design – Development of architectural concept, 3D visualisations, material palette, and spatial planning for all 18 storeys</w:t>
            </w:r>
          </w:p>
        </w:tc>
        <w:tc>
          <w:tcPr/>
          <w:p>
            <w:pPr>
              <w:pStyle w:val="Compact"/>
              <w:jc w:val="left"/>
            </w:pPr>
            <w:r>
              <w:t xml:space="preserve">Phase 2 (6 weeks)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Design Development – Detailed architectural drawings, structural coordination, MEP integration, and DBKL submission preparation</w:t>
            </w:r>
          </w:p>
        </w:tc>
        <w:tc>
          <w:tcPr/>
          <w:p>
            <w:pPr>
              <w:pStyle w:val="Compact"/>
              <w:jc w:val="left"/>
            </w:pPr>
            <w:r>
              <w:t xml:space="preserve">Phase 3 (8 weeks)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Tender Documentation – Full set of architectural tender drawings, specifications, BOQ coordination, and contractor query management</w:t>
            </w:r>
          </w:p>
        </w:tc>
        <w:tc>
          <w:tcPr/>
          <w:p>
            <w:pPr>
              <w:pStyle w:val="Compact"/>
              <w:jc w:val="left"/>
            </w:pPr>
            <w:r>
              <w:t xml:space="preserve">Phase 4 (6 weeks)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Construction Administration &amp; Supervision – Site inspections, progress monitoring, variation order assessment, and as-built documentation</w:t>
            </w:r>
          </w:p>
        </w:tc>
        <w:tc>
          <w:tcPr/>
          <w:p>
            <w:pPr>
              <w:pStyle w:val="Compact"/>
              <w:jc w:val="left"/>
            </w:pPr>
            <w:r>
              <w:t xml:space="preserve">Phase 5 (24 months)</w:t>
            </w:r>
          </w:p>
        </w:tc>
        <w:tc>
          <w:tcPr/>
          <w:p>
            <w:pPr>
              <w:pStyle w:val="Compact"/>
              <w:jc w:val="left"/>
            </w:pPr>
            <w:r>
              <w:t xml:space="preserve">Monthly</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6</w:t>
            </w:r>
          </w:p>
        </w:tc>
        <w:tc>
          <w:tcPr/>
          <w:p>
            <w:pPr>
              <w:pStyle w:val="Compact"/>
              <w:jc w:val="left"/>
            </w:pPr>
            <w:r>
              <w:t xml:space="preserve">DBKL Planning &amp; Building Permit Application – Preparation and submission of all statutory drawings, coordination with</w:t>
            </w:r>
            <w:r>
              <w:t xml:space="preserve"> </w:t>
            </w:r>
            <w:r>
              <w:t xml:space="preserve">Malaysia Kuala Lumpur</w:t>
            </w:r>
            <w:r>
              <w:t xml:space="preserve"> </w:t>
            </w:r>
            <w:r>
              <w:t xml:space="preserve">City Hall, and follow-up until approval</w:t>
            </w:r>
          </w:p>
        </w:tc>
        <w:tc>
          <w:tcPr/>
          <w:p>
            <w:pPr>
              <w:pStyle w:val="Compact"/>
              <w:jc w:val="left"/>
            </w:pPr>
            <w:r>
              <w:t xml:space="preserve">As required</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38,000.00</w:t>
            </w:r>
          </w:p>
        </w:tc>
      </w:tr>
      <w:tr>
        <w:tc>
          <w:tcPr/>
          <w:p>
            <w:pPr>
              <w:pStyle w:val="Compact"/>
              <w:jc w:val="left"/>
            </w:pPr>
            <w:r>
              <w:t xml:space="preserve">7</w:t>
            </w:r>
          </w:p>
        </w:tc>
        <w:tc>
          <w:tcPr/>
          <w:p>
            <w:pPr>
              <w:pStyle w:val="Compact"/>
              <w:jc w:val="left"/>
            </w:pPr>
            <w:r>
              <w:t xml:space="preserve">Interior Design Coordination – Architectural interface with interior design for lobby, common areas, and unit layouts</w:t>
            </w:r>
          </w:p>
        </w:tc>
        <w:tc>
          <w:tcPr/>
          <w:p>
            <w:pPr>
              <w:pStyle w:val="Compact"/>
              <w:jc w:val="left"/>
            </w:pPr>
            <w:r>
              <w:t xml:space="preserve">Phase 2–4</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65,000.00</w:t>
            </w:r>
          </w:p>
        </w:tc>
      </w:tr>
      <w:tr>
        <w:tc>
          <w:tcPr/>
          <w:p>
            <w:pPr>
              <w:pStyle w:val="Compact"/>
              <w:jc w:val="left"/>
            </w:pPr>
            <w:r>
              <w:t xml:space="preserve">8</w:t>
            </w:r>
          </w:p>
        </w:tc>
        <w:tc>
          <w:tcPr/>
          <w:p>
            <w:pPr>
              <w:pStyle w:val="Compact"/>
              <w:jc w:val="left"/>
            </w:pPr>
            <w:r>
              <w:t xml:space="preserve">Landscape &amp; External Works Design – Garden areas, podium landscaping, and external circulation design compliant with DBKL open space requirements</w:t>
            </w:r>
          </w:p>
        </w:tc>
        <w:tc>
          <w:tcPr/>
          <w:p>
            <w:pPr>
              <w:pStyle w:val="Compact"/>
              <w:jc w:val="left"/>
            </w:pPr>
            <w:r>
              <w:t xml:space="preserve">Phase 2–4</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42,000.00</w:t>
            </w:r>
          </w:p>
        </w:tc>
      </w:tr>
      <w:tr>
        <w:tc>
          <w:tcPr/>
          <w:p>
            <w:pPr>
              <w:pStyle w:val="Compact"/>
              <w:jc w:val="left"/>
            </w:pPr>
            <w:r>
              <w:t xml:space="preserve">9</w:t>
            </w:r>
          </w:p>
        </w:tc>
        <w:tc>
          <w:tcPr/>
          <w:p>
            <w:pPr>
              <w:pStyle w:val="Compact"/>
              <w:jc w:val="left"/>
            </w:pPr>
            <w:r>
              <w:t xml:space="preserve">Post-Occupancy Evaluation &amp; Handover – Final inspection, snag list resolution, and 12-month post-completion support</w:t>
            </w:r>
          </w:p>
        </w:tc>
        <w:tc>
          <w:tcPr/>
          <w:p>
            <w:pPr>
              <w:pStyle w:val="Compact"/>
              <w:jc w:val="left"/>
            </w:pPr>
            <w:r>
              <w:t xml:space="preserve">Post-completion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28,000.00</w:t>
            </w:r>
          </w:p>
        </w:tc>
      </w:tr>
      <w:tr>
        <w:tc>
          <w:tcPr>
            <w:gridSpan w:val="5"/>
          </w:tcPr>
          <w:p>
            <w:pPr>
              <w:pStyle w:val="Compact"/>
              <w:jc w:val="right"/>
            </w:pPr>
            <w:r>
              <w:t xml:space="preserve">SUBTOTAL</w:t>
            </w:r>
          </w:p>
        </w:tc>
        <w:tc>
          <w:tcPr/>
          <w:p>
            <w:pPr>
              <w:pStyle w:val="Compact"/>
              <w:jc w:val="left"/>
            </w:pPr>
            <w:r>
              <w:t xml:space="preserve">RM 1,062,000.00</w:t>
            </w:r>
          </w:p>
        </w:tc>
      </w:tr>
      <w:tr>
        <w:tc>
          <w:tcPr>
            <w:gridSpan w:val="5"/>
          </w:tcPr>
          <w:p>
            <w:pPr>
              <w:pStyle w:val="Compact"/>
              <w:jc w:val="right"/>
            </w:pPr>
            <w:r>
              <w:t xml:space="preserve">Sales &amp; Service Tax (SST) @ 6%</w:t>
            </w:r>
          </w:p>
        </w:tc>
        <w:tc>
          <w:tcPr/>
          <w:p>
            <w:pPr>
              <w:pStyle w:val="Compact"/>
              <w:jc w:val="left"/>
            </w:pPr>
            <w:r>
              <w:t xml:space="preserve">RM 63,720.00</w:t>
            </w:r>
          </w:p>
        </w:tc>
      </w:tr>
      <w:tr>
        <w:tc>
          <w:tcPr>
            <w:gridSpan w:val="5"/>
          </w:tcPr>
          <w:p>
            <w:pPr>
              <w:pStyle w:val="Compact"/>
              <w:jc w:val="right"/>
            </w:pPr>
            <w:r>
              <w:t xml:space="preserve">GRAND TOTAL (INCL. SST)</w:t>
            </w:r>
          </w:p>
        </w:tc>
        <w:tc>
          <w:tcPr/>
          <w:p>
            <w:pPr>
              <w:pStyle w:val="Compact"/>
              <w:jc w:val="left"/>
            </w:pPr>
            <w:r>
              <w:t xml:space="preserve">RM 1,125,720.00</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Beyond this period, the</w:t>
      </w:r>
      <w:r>
        <w:t xml:space="preserve"> </w:t>
      </w:r>
      <w:r>
        <w:t xml:space="preserve">Architect</w:t>
      </w:r>
      <w:r>
        <w:t xml:space="preserve"> </w:t>
      </w:r>
      <w:r>
        <w:t xml:space="preserve">fees and rates may be subject to revision based on prevailing market conditions in</w:t>
      </w:r>
      <w:r>
        <w:t xml:space="preserve"> </w:t>
      </w:r>
      <w:r>
        <w:t xml:space="preserve">Malaysia Kuala Lumpur</w:t>
      </w:r>
      <w:r>
        <w:t xml:space="preserve">.</w:t>
      </w:r>
    </w:p>
    <w:p>
      <w:pPr>
        <w:numPr>
          <w:ilvl w:val="0"/>
          <w:numId w:val="1001"/>
        </w:numPr>
        <w:pStyle w:val="Compact"/>
      </w:pPr>
      <w:r>
        <w:t xml:space="preserve">Payment shall be made in accordance with the following schedule: 30% advance payment upon execution of the Professional Services Agreement; 20% upon completion of Schematic Design; 20% upon completion of Design Development; 15% upon completion of Tender Documentation; and the remaining 15% to be paid monthly during the Construction Administration phase.</w:t>
      </w:r>
    </w:p>
    <w:p>
      <w:pPr>
        <w:numPr>
          <w:ilvl w:val="0"/>
          <w:numId w:val="1001"/>
        </w:numPr>
        <w:pStyle w:val="Compact"/>
      </w:pPr>
      <w:r>
        <w:t xml:space="preserve">All payments are due within fourteen (14) calendar days from the date of invoice. Late payments shall attract interest at the rate of 5% per annum, in accordance with the Late Payment of Outstanding Claims Act 2017 applicable in</w:t>
      </w:r>
      <w:r>
        <w:t xml:space="preserve"> </w:t>
      </w:r>
      <w:r>
        <w:t xml:space="preserve">Malaysia Kuala Lumpur</w:t>
      </w:r>
      <w:r>
        <w:t xml:space="preserve">.</w:t>
      </w:r>
    </w:p>
    <w:p>
      <w:pPr>
        <w:numPr>
          <w:ilvl w:val="0"/>
          <w:numId w:val="1001"/>
        </w:numPr>
        <w:pStyle w:val="Compact"/>
      </w:pPr>
      <w:r>
        <w:t xml:space="preserve">The</w:t>
      </w:r>
      <w:r>
        <w:t xml:space="preserve"> </w:t>
      </w:r>
      <w:r>
        <w:t xml:space="preserve">Architect</w:t>
      </w:r>
      <w:r>
        <w:t xml:space="preserve"> </w:t>
      </w:r>
      <w:r>
        <w:t xml:space="preserve">shall not be liable for delays caused by the client, statutory authorities (including DBKL), or force majeure events. Any extension of the project timeline shall be assessed on a case-by-case basis.</w:t>
      </w:r>
    </w:p>
    <w:p>
      <w:pPr>
        <w:numPr>
          <w:ilvl w:val="0"/>
          <w:numId w:val="1001"/>
        </w:numPr>
        <w:pStyle w:val="Compact"/>
      </w:pPr>
      <w:r>
        <w:t xml:space="preserve">All architectural drawings, 3D models, and design documents produced under this engagement remain the intellectual property of Meridian Architectural Design Sdn. Bhd. until full payment is received. Upon full settlement, the client shall receive a non-exclusive licence to use the documents for the specific project in</w:t>
      </w:r>
      <w:r>
        <w:t xml:space="preserve"> </w:t>
      </w:r>
      <w:r>
        <w:t xml:space="preserve">Malaysia Kuala Lumpur</w:t>
      </w:r>
      <w:r>
        <w:t xml:space="preserve">.</w:t>
      </w:r>
    </w:p>
    <w:p>
      <w:pPr>
        <w:numPr>
          <w:ilvl w:val="0"/>
          <w:numId w:val="1001"/>
        </w:numPr>
        <w:pStyle w:val="Compact"/>
      </w:pPr>
      <w:r>
        <w:t xml:space="preserve">Any variations or additional scope of work beyond the original</w:t>
      </w:r>
      <w:r>
        <w:t xml:space="preserve"> </w:t>
      </w:r>
      <w:r>
        <w:t xml:space="preserve">Quotation Estimate</w:t>
      </w:r>
      <w:r>
        <w:t xml:space="preserve"> </w:t>
      </w:r>
      <w:r>
        <w:t xml:space="preserve">shall be subject to a separate written agreement and additional fees as determined by the</w:t>
      </w:r>
      <w:r>
        <w:t xml:space="preserve"> </w:t>
      </w:r>
      <w:r>
        <w:t xml:space="preserve">Architect</w:t>
      </w:r>
      <w:r>
        <w:t xml:space="preserve">.</w:t>
      </w:r>
    </w:p>
    <w:p>
      <w:pPr>
        <w:numPr>
          <w:ilvl w:val="0"/>
          <w:numId w:val="1001"/>
        </w:numPr>
        <w:pStyle w:val="Compact"/>
      </w:pPr>
      <w:r>
        <w:t xml:space="preserve">This</w:t>
      </w:r>
      <w:r>
        <w:t xml:space="preserve"> </w:t>
      </w:r>
      <w:r>
        <w:t xml:space="preserve">Quotation Estimate</w:t>
      </w:r>
      <w:r>
        <w:t xml:space="preserve"> </w:t>
      </w:r>
      <w:r>
        <w:t xml:space="preserve">does not include costs for structural engineering, geotechnical investigation, environmental impact assessment, or specialist consultancy fees, which shall be engaged separately by the client.</w:t>
      </w:r>
    </w:p>
    <w:p>
      <w:pPr>
        <w:numPr>
          <w:ilvl w:val="0"/>
          <w:numId w:val="1001"/>
        </w:numPr>
        <w:pStyle w:val="Compact"/>
      </w:pPr>
      <w:r>
        <w:t xml:space="preserve">All services shall be performed in compliance with the Professional Conduct Rules of the Board of</w:t>
      </w:r>
      <w:r>
        <w:t xml:space="preserve"> </w:t>
      </w:r>
      <w:r>
        <w:t xml:space="preserve">Architects</w:t>
      </w:r>
      <w:r>
        <w:t xml:space="preserve"> </w:t>
      </w:r>
      <w:r>
        <w:t xml:space="preserve">Malaysia and the applicable building regulations of the Federal Territory of Kuala Lumpur.</w:t>
      </w:r>
    </w:p>
    <w:p>
      <w:pPr>
        <w:numPr>
          <w:ilvl w:val="0"/>
          <w:numId w:val="1001"/>
        </w:numPr>
        <w:pStyle w:val="Compact"/>
      </w:pPr>
      <w:r>
        <w:t xml:space="preserve">Disputes arising from this engagement shall be resolved through mediation in</w:t>
      </w:r>
      <w:r>
        <w:t xml:space="preserve"> </w:t>
      </w:r>
      <w:r>
        <w:t xml:space="preserve">Malaysia Kuala Lumpur</w:t>
      </w:r>
      <w:r>
        <w:t xml:space="preserve"> </w:t>
      </w:r>
      <w:r>
        <w:t xml:space="preserve">in accordance with the Mediation Act 2012, failing which, the courts of</w:t>
      </w:r>
      <w:r>
        <w:t xml:space="preserve"> </w:t>
      </w:r>
      <w:r>
        <w:t xml:space="preserve">Malaysia Kuala Lumpur</w:t>
      </w:r>
      <w:r>
        <w:t xml:space="preserve"> </w:t>
      </w:r>
      <w:r>
        <w:t xml:space="preserve">shall have exclusive jurisdiction.</w:t>
      </w:r>
    </w:p>
    <w:p>
      <w:pPr>
        <w:pStyle w:val="FirstParagraph"/>
      </w:pPr>
      <w:r>
        <w:t xml:space="preserve">ACCEPTANCE</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Architect</w:t>
      </w:r>
      <w:r>
        <w:t xml:space="preserve"> </w:t>
      </w:r>
      <w:r>
        <w:t xml:space="preserve">services in</w:t>
      </w:r>
      <w:r>
        <w:t xml:space="preserve"> </w:t>
      </w:r>
      <w:r>
        <w:t xml:space="preserve">Malaysia Kuala Lumpur</w:t>
      </w:r>
      <w:r>
        <w:t xml:space="preserve"> </w:t>
      </w:r>
      <w:r>
        <w:t xml:space="preserve">as set out herein. This acceptance shall constitute a binding agreement between both parties subject to the terms and conditions stated above.</w:t>
      </w:r>
    </w:p>
    <w:p>
      <w:pPr>
        <w:pStyle w:val="BodyText"/>
      </w:pPr>
      <w:r>
        <w:rPr>
          <w:bCs/>
          <w:b/>
        </w:rPr>
        <w:t xml:space="preserve">For and on behalf of Meridian Architectural Design Sdn. Bhd.</w:t>
      </w:r>
      <w:r>
        <w:br/>
      </w:r>
      <w:r>
        <w:t xml:space="preserve">Name: Datuk Ir. Ahmad Faizal bin Hassan</w:t>
      </w:r>
      <w:r>
        <w:br/>
      </w:r>
      <w:r>
        <w:t xml:space="preserve">Designation: Principal Architect (ABM Reg. A-2015-0892)</w:t>
      </w:r>
      <w:r>
        <w:br/>
      </w:r>
      <w:r>
        <w:t xml:space="preserve">Date: _______________</w:t>
      </w:r>
    </w:p>
    <w:p>
      <w:pPr>
        <w:pStyle w:val="BodyText"/>
      </w:pPr>
      <w:r>
        <w:rPr>
          <w:bCs/>
          <w:b/>
        </w:rPr>
        <w:t xml:space="preserve">For and on behalf of Sinar Property Holdings Sdn. Bhd.</w:t>
      </w:r>
      <w:r>
        <w:br/>
      </w:r>
      <w:r>
        <w:t xml:space="preserve">Name: Tan Wei Keat</w:t>
      </w:r>
      <w:r>
        <w:br/>
      </w:r>
      <w:r>
        <w:t xml:space="preserve">Designation: Managing Director</w:t>
      </w:r>
      <w:r>
        <w:br/>
      </w:r>
      <w:r>
        <w:t xml:space="preserve">Date: _______________</w:t>
      </w:r>
    </w:p>
    <w:p>
      <w:pPr>
        <w:pStyle w:val="BodyText"/>
      </w:pPr>
      <w:r>
        <w:t xml:space="preserve">Meridian Architectural Design Sdn. Bhd. | Lot 12, Level 8, Menara Sentral, Jalan Stesen Sentral 5, 50470 Kuala Lumpur, Malaysia</w:t>
      </w:r>
    </w:p>
    <w:p>
      <w:pPr>
        <w:pStyle w:val="BodyText"/>
      </w:pPr>
      <w:r>
        <w:t xml:space="preserve">This Quotation Estimate is issued in duplicate. Both copies carry equal legal validity. | Document Ref: QE/2025/KL/0472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Malaysia Kuala Lumpur</dc:title>
  <dc:creator/>
  <dc:language>en</dc:language>
  <cp:keywords/>
  <dcterms:created xsi:type="dcterms:W3CDTF">2026-10-10T01:06:06Z</dcterms:created>
  <dcterms:modified xsi:type="dcterms:W3CDTF">2026-10-10T01:06:06Z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