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quotation-estimate"/>
    <w:p>
      <w:pPr>
        <w:pStyle w:val="Heading1"/>
      </w:pPr>
      <w:r>
        <w:t xml:space="preserve">QUOTATION ESTIMATE</w:t>
      </w:r>
    </w:p>
    <w:p>
      <w:pPr>
        <w:pStyle w:val="FirstParagraph"/>
      </w:pPr>
      <w:r>
        <w:t xml:space="preserve">Professional Architect Services — Mexico, Mexico City</w:t>
      </w:r>
    </w:p>
    <w:p>
      <w:pPr>
        <w:pStyle w:val="BodyText"/>
      </w:pPr>
      <w:r>
        <w:t xml:space="preserve">Document Reference: QE-MX-2025-04782 | Issued: June 12, 2025</w:t>
      </w:r>
    </w:p>
    <w:bookmarkEnd w:id="20"/>
    <w:tbl>
      <w:tblPr>
        <w:tblStyle w:val="Table"/>
        <w:tblW w:type="pct" w:w="500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Arquitectura Integral CDMX, S.A. de C.V.</w:t>
            </w:r>
            <w:r>
              <w:br/>
            </w:r>
            <w:r>
              <w:t xml:space="preserve">Av. Paseo de la Reforma 245, Piso 12, Col. Cuauhtémoc</w:t>
            </w:r>
            <w:r>
              <w:br/>
            </w:r>
            <w:r>
              <w:t xml:space="preserve">Mexico, Mexico City 06600, México</w:t>
            </w:r>
            <w:r>
              <w:br/>
            </w:r>
            <w:r>
              <w:t xml:space="preserve">RFC: AIQ120612AB3 | Tel: +52 (55) 5264-8890</w:t>
            </w:r>
          </w:p>
        </w:tc>
      </w:tr>
      <w:tr>
        <w:tc>
          <w:tcPr/>
          <w:p>
            <w:pPr>
              <w:pStyle w:val="Compact"/>
              <w:jc w:val="left"/>
            </w:pPr>
            <w:r>
              <w:t xml:space="preserve">Prepared For</w:t>
            </w:r>
          </w:p>
        </w:tc>
        <w:tc>
          <w:tcPr/>
          <w:p>
            <w:pPr>
              <w:pStyle w:val="Compact"/>
              <w:jc w:val="left"/>
            </w:pPr>
            <w:r>
              <w:t xml:space="preserve">Ing. Carlos Mendoza Herrera</w:t>
            </w:r>
            <w:r>
              <w:br/>
            </w:r>
            <w:r>
              <w:t xml:space="preserve">Desarrollos Inmobiliarios del Valle, S.A. de C.V.</w:t>
            </w:r>
            <w:r>
              <w:br/>
            </w:r>
            <w:r>
              <w:t xml:space="preserve">Calle Insurgentes Sur 1890, Col. Del Valle</w:t>
            </w:r>
            <w:r>
              <w:br/>
            </w:r>
            <w:r>
              <w:t xml:space="preserve">Mexico, Mexico City 03100, México</w:t>
            </w:r>
          </w:p>
        </w:tc>
      </w:tr>
      <w:tr>
        <w:tc>
          <w:tcPr/>
          <w:p>
            <w:pPr>
              <w:pStyle w:val="Compact"/>
              <w:jc w:val="left"/>
            </w:pPr>
            <w:r>
              <w:t xml:space="preserve">Project Title</w:t>
            </w:r>
          </w:p>
        </w:tc>
        <w:tc>
          <w:tcPr/>
          <w:p>
            <w:pPr>
              <w:pStyle w:val="Compact"/>
              <w:jc w:val="left"/>
            </w:pPr>
            <w:r>
              <w:t xml:space="preserve">Residential Mixed-Use Development — Torre Reforma Norte, Mexico City</w:t>
            </w:r>
          </w:p>
        </w:tc>
      </w:tr>
      <w:tr>
        <w:tc>
          <w:tcPr/>
          <w:p>
            <w:pPr>
              <w:pStyle w:val="Compact"/>
              <w:jc w:val="left"/>
            </w:pPr>
            <w:r>
              <w:t xml:space="preserve">Quotation Estimate Validity</w:t>
            </w:r>
          </w:p>
        </w:tc>
        <w:tc>
          <w:tcPr/>
          <w:p>
            <w:pPr>
              <w:pStyle w:val="Compact"/>
              <w:jc w:val="left"/>
            </w:pPr>
            <w:r>
              <w:t xml:space="preserve">30 calendar days from the date of issue (expires July 12, 2025)</w:t>
            </w:r>
          </w:p>
        </w:tc>
      </w:tr>
      <w:tr>
        <w:tc>
          <w:tcPr/>
          <w:p>
            <w:pPr>
              <w:pStyle w:val="Compact"/>
              <w:jc w:val="left"/>
            </w:pPr>
            <w:r>
              <w:t xml:space="preserve">Currency</w:t>
            </w:r>
          </w:p>
        </w:tc>
        <w:tc>
          <w:tcPr/>
          <w:p>
            <w:pPr>
              <w:pStyle w:val="Compact"/>
              <w:jc w:val="left"/>
            </w:pPr>
            <w:r>
              <w:t xml:space="preserve">Mexican Peso (MXN) — All amounts are inclusive of applicable IVA (16%)</w:t>
            </w:r>
          </w:p>
        </w:tc>
      </w:tr>
    </w:tbl>
    <w:bookmarkStart w:id="21" w:name="executive-summary"/>
    <w:p>
      <w:pPr>
        <w:pStyle w:val="Heading2"/>
      </w:pPr>
      <w:r>
        <w:t xml:space="preserve">1. Executive Summary</w:t>
      </w:r>
    </w:p>
    <w:p>
      <w:pPr>
        <w:pStyle w:val="FirstParagraph"/>
      </w:pPr>
      <w:r>
        <w:t xml:space="preserve">This Quotation Estimate is issued by Arquitectura Integral CDMX, S.A. de C.V. (hereinafter referred to as "the Architect") in response to the formal request submitted by Desarrollos Inmobiliarios del Valle, S.A. de C.V. (hereinafter referred to as "the Client") for comprehensive architectural design and consulting services. The Architect has prepared this Quotation Estimate to outline the full scope of professional services, associated costs, and contractual terms for the design and development of the Torre Reforma Norte project located in the Cuauhtémoc district of Mexico, Mexico City. This document serves as the formal Quotation Estimate upon which both parties may negotiate and finalize the professional engagement.</w:t>
      </w:r>
    </w:p>
    <w:bookmarkEnd w:id="21"/>
    <w:bookmarkStart w:id="22" w:name="scope-of-architect-services"/>
    <w:p>
      <w:pPr>
        <w:pStyle w:val="Heading2"/>
      </w:pPr>
      <w:r>
        <w:t xml:space="preserve">2. Scope of Architect Services</w:t>
      </w:r>
    </w:p>
    <w:p>
      <w:pPr>
        <w:pStyle w:val="FirstParagraph"/>
      </w:pPr>
      <w:r>
        <w:t xml:space="preserve">The Architect proposes to deliver the following professional services as part of this Quotation Estimate for the Mexico, Mexico City project:</w:t>
      </w:r>
    </w:p>
    <w:p>
      <w:pPr>
        <w:numPr>
          <w:ilvl w:val="0"/>
          <w:numId w:val="1001"/>
        </w:numPr>
        <w:pStyle w:val="Compact"/>
      </w:pPr>
      <w:r>
        <w:rPr>
          <w:bCs/>
          <w:b/>
        </w:rPr>
        <w:t xml:space="preserve">Conceptual Design Phase:</w:t>
      </w:r>
      <w:r>
        <w:t xml:space="preserve"> </w:t>
      </w:r>
      <w:r>
        <w:t xml:space="preserve">Development of initial architectural concepts, massing studies, and site analysis specific to the urban context of Mexico, Mexico City, including compliance with the Reglamento de Construcción del Distrito Federal and local zoning regulations (NOM-001-CONACYT and applicable CDMC ordinances).</w:t>
      </w:r>
    </w:p>
    <w:p>
      <w:pPr>
        <w:numPr>
          <w:ilvl w:val="0"/>
          <w:numId w:val="1001"/>
        </w:numPr>
        <w:pStyle w:val="Compact"/>
      </w:pPr>
      <w:r>
        <w:rPr>
          <w:bCs/>
          <w:b/>
        </w:rPr>
        <w:t xml:space="preserve">Schematic Design Phase:</w:t>
      </w:r>
      <w:r>
        <w:t xml:space="preserve"> </w:t>
      </w:r>
      <w:r>
        <w:t xml:space="preserve">Production of schematic architectural drawings, preliminary structural coordination, and material palette selection. The Architect will conduct no fewer than three (3) design review meetings with the Client at the project site in Mexico, Mexico City.</w:t>
      </w:r>
    </w:p>
    <w:p>
      <w:pPr>
        <w:numPr>
          <w:ilvl w:val="0"/>
          <w:numId w:val="1001"/>
        </w:numPr>
        <w:pStyle w:val="Compact"/>
      </w:pPr>
      <w:r>
        <w:rPr>
          <w:bCs/>
          <w:b/>
        </w:rPr>
        <w:t xml:space="preserve">Design Development Phase:</w:t>
      </w:r>
      <w:r>
        <w:t xml:space="preserve"> </w:t>
      </w:r>
      <w:r>
        <w:t xml:space="preserve">Detailed architectural drawings, interior design coordination, façade engineering specifications, and integration of sustainable design strategies aligned with the LEED for Buildings certification framework.</w:t>
      </w:r>
    </w:p>
    <w:p>
      <w:pPr>
        <w:numPr>
          <w:ilvl w:val="0"/>
          <w:numId w:val="1001"/>
        </w:numPr>
        <w:pStyle w:val="Compact"/>
      </w:pPr>
      <w:r>
        <w:rPr>
          <w:bCs/>
          <w:b/>
        </w:rPr>
        <w:t xml:space="preserve">Construction Documentation:</w:t>
      </w:r>
      <w:r>
        <w:t xml:space="preserve"> </w:t>
      </w:r>
      <w:r>
        <w:t xml:space="preserve">Full set of construction-ready architectural drawings, specifications, and technical details suitable for submission to the Dirección General de Desarrollo Urbano y Obra Pública of Mexico City for building permit acquisition.</w:t>
      </w:r>
    </w:p>
    <w:p>
      <w:pPr>
        <w:numPr>
          <w:ilvl w:val="0"/>
          <w:numId w:val="1001"/>
        </w:numPr>
        <w:pStyle w:val="Compact"/>
      </w:pPr>
      <w:r>
        <w:rPr>
          <w:bCs/>
          <w:b/>
        </w:rPr>
        <w:t xml:space="preserve">Permitting and Regulatory Compliance:</w:t>
      </w:r>
      <w:r>
        <w:t xml:space="preserve"> </w:t>
      </w:r>
      <w:r>
        <w:t xml:space="preserve">The Architect shall manage all interactions with municipal authorities in Mexico, Mexico City, including the preparation and submission of the Licencia de Construcción, environmental impact assessments, and compliance with the Programa de Desarrollo Urbano del Centro de México 2020.</w:t>
      </w:r>
    </w:p>
    <w:p>
      <w:pPr>
        <w:numPr>
          <w:ilvl w:val="0"/>
          <w:numId w:val="1001"/>
        </w:numPr>
        <w:pStyle w:val="Compact"/>
      </w:pPr>
      <w:r>
        <w:rPr>
          <w:bCs/>
          <w:b/>
        </w:rPr>
        <w:t xml:space="preserve">Construction Administration:</w:t>
      </w:r>
      <w:r>
        <w:t xml:space="preserve"> </w:t>
      </w:r>
      <w:r>
        <w:t xml:space="preserve">On-site architectural supervision, review of contractor submittals, response to Request for Information (RFI) documents, and monthly progress reports throughout the construction period in Mexico, Mexico City.</w:t>
      </w:r>
    </w:p>
    <w:p>
      <w:pPr>
        <w:numPr>
          <w:ilvl w:val="0"/>
          <w:numId w:val="1001"/>
        </w:numPr>
        <w:pStyle w:val="Compact"/>
      </w:pPr>
      <w:r>
        <w:rPr>
          <w:bCs/>
          <w:b/>
        </w:rPr>
        <w:t xml:space="preserve">Post-Occupancy Evaluation:</w:t>
      </w:r>
      <w:r>
        <w:t xml:space="preserve"> </w:t>
      </w:r>
      <w:r>
        <w:t xml:space="preserve">A final assessment report conducted twelve (12) months after substantial completion, evaluating the performance of the architectural design as implemented.</w:t>
      </w:r>
    </w:p>
    <w:bookmarkEnd w:id="22"/>
    <w:bookmarkStart w:id="23" w:name="itemized-cost-breakdown"/>
    <w:p>
      <w:pPr>
        <w:pStyle w:val="Heading2"/>
      </w:pPr>
      <w:r>
        <w:t xml:space="preserve">3. Itemized Cost Breakdown</w:t>
      </w:r>
    </w:p>
    <w:p>
      <w:pPr>
        <w:pStyle w:val="FirstParagraph"/>
      </w:pPr>
      <w:r>
        <w:t xml:space="preserve">The following table constitutes the financial component of this Quotation Estimate. All fees are expressed in Mexican Pesos (MXN) and include the applicable 16% IVA tax as mandated by the Servicio de Administración Tributaria (SAT) of Mexico.</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Architect Service</w:t>
            </w:r>
          </w:p>
        </w:tc>
        <w:tc>
          <w:tcPr/>
          <w:p>
            <w:pPr>
              <w:pStyle w:val="Compact"/>
              <w:jc w:val="left"/>
            </w:pPr>
            <w:r>
              <w:t xml:space="preserve">Duration</w:t>
            </w:r>
          </w:p>
        </w:tc>
        <w:tc>
          <w:tcPr/>
          <w:p>
            <w:pPr>
              <w:pStyle w:val="Compact"/>
              <w:jc w:val="left"/>
            </w:pPr>
            <w:r>
              <w:t xml:space="preserve">Amount (MXN)</w:t>
            </w:r>
          </w:p>
        </w:tc>
      </w:tr>
      <w:tr>
        <w:tc>
          <w:tcPr/>
          <w:p>
            <w:pPr>
              <w:pStyle w:val="Compact"/>
              <w:jc w:val="left"/>
            </w:pPr>
            <w:r>
              <w:t xml:space="preserve">01</w:t>
            </w:r>
          </w:p>
        </w:tc>
        <w:tc>
          <w:tcPr/>
          <w:p>
            <w:pPr>
              <w:pStyle w:val="Compact"/>
              <w:jc w:val="left"/>
            </w:pPr>
            <w:r>
              <w:t xml:space="preserve">Conceptual Design &amp; Site Analysis (Mexico, Mexico City)</w:t>
            </w:r>
          </w:p>
        </w:tc>
        <w:tc>
          <w:tcPr/>
          <w:p>
            <w:pPr>
              <w:pStyle w:val="Compact"/>
              <w:jc w:val="left"/>
            </w:pPr>
            <w:r>
              <w:t xml:space="preserve">6 weeks</w:t>
            </w:r>
          </w:p>
        </w:tc>
        <w:tc>
          <w:tcPr/>
          <w:p>
            <w:pPr>
              <w:pStyle w:val="Compact"/>
              <w:jc w:val="left"/>
            </w:pPr>
            <w:r>
              <w:t xml:space="preserve">$485,000.00</w:t>
            </w:r>
          </w:p>
        </w:tc>
      </w:tr>
      <w:tr>
        <w:tc>
          <w:tcPr/>
          <w:p>
            <w:pPr>
              <w:pStyle w:val="Compact"/>
              <w:jc w:val="left"/>
            </w:pPr>
            <w:r>
              <w:t xml:space="preserve">02</w:t>
            </w:r>
          </w:p>
        </w:tc>
        <w:tc>
          <w:tcPr/>
          <w:p>
            <w:pPr>
              <w:pStyle w:val="Compact"/>
              <w:jc w:val="left"/>
            </w:pPr>
            <w:r>
              <w:t xml:space="preserve">Schematic Design &amp; Client Review Meetings</w:t>
            </w:r>
          </w:p>
        </w:tc>
        <w:tc>
          <w:tcPr/>
          <w:p>
            <w:pPr>
              <w:pStyle w:val="Compact"/>
              <w:jc w:val="left"/>
            </w:pPr>
            <w:r>
              <w:t xml:space="preserve">8 weeks</w:t>
            </w:r>
          </w:p>
        </w:tc>
        <w:tc>
          <w:tcPr/>
          <w:p>
            <w:pPr>
              <w:pStyle w:val="Compact"/>
              <w:jc w:val="left"/>
            </w:pPr>
            <w:r>
              <w:t xml:space="preserve">$720,000.00</w:t>
            </w:r>
          </w:p>
        </w:tc>
      </w:tr>
      <w:tr>
        <w:tc>
          <w:tcPr/>
          <w:p>
            <w:pPr>
              <w:pStyle w:val="Compact"/>
              <w:jc w:val="left"/>
            </w:pPr>
            <w:r>
              <w:t xml:space="preserve">03</w:t>
            </w:r>
          </w:p>
        </w:tc>
        <w:tc>
          <w:tcPr/>
          <w:p>
            <w:pPr>
              <w:pStyle w:val="Compact"/>
              <w:jc w:val="left"/>
            </w:pPr>
            <w:r>
              <w:t xml:space="preserve">Design Development &amp; Façade Engineering</w:t>
            </w:r>
          </w:p>
        </w:tc>
        <w:tc>
          <w:tcPr/>
          <w:p>
            <w:pPr>
              <w:pStyle w:val="Compact"/>
              <w:jc w:val="left"/>
            </w:pPr>
            <w:r>
              <w:t xml:space="preserve">10 weeks</w:t>
            </w:r>
          </w:p>
        </w:tc>
        <w:tc>
          <w:tcPr/>
          <w:p>
            <w:pPr>
              <w:pStyle w:val="Compact"/>
              <w:jc w:val="left"/>
            </w:pPr>
            <w:r>
              <w:t xml:space="preserve">$1,150,000.00</w:t>
            </w:r>
          </w:p>
        </w:tc>
      </w:tr>
      <w:tr>
        <w:tc>
          <w:tcPr/>
          <w:p>
            <w:pPr>
              <w:pStyle w:val="Compact"/>
              <w:jc w:val="left"/>
            </w:pPr>
            <w:r>
              <w:t xml:space="preserve">04</w:t>
            </w:r>
          </w:p>
        </w:tc>
        <w:tc>
          <w:tcPr/>
          <w:p>
            <w:pPr>
              <w:pStyle w:val="Compact"/>
              <w:jc w:val="left"/>
            </w:pPr>
            <w:r>
              <w:t xml:space="preserve">Construction Documentation &amp; Specifications</w:t>
            </w:r>
          </w:p>
        </w:tc>
        <w:tc>
          <w:tcPr/>
          <w:p>
            <w:pPr>
              <w:pStyle w:val="Compact"/>
              <w:jc w:val="left"/>
            </w:pPr>
            <w:r>
              <w:t xml:space="preserve">12 weeks</w:t>
            </w:r>
          </w:p>
        </w:tc>
        <w:tc>
          <w:tcPr/>
          <w:p>
            <w:pPr>
              <w:pStyle w:val="Compact"/>
              <w:jc w:val="left"/>
            </w:pPr>
            <w:r>
              <w:t xml:space="preserve">$1,380,000.00</w:t>
            </w:r>
          </w:p>
        </w:tc>
      </w:tr>
      <w:tr>
        <w:tc>
          <w:tcPr/>
          <w:p>
            <w:pPr>
              <w:pStyle w:val="Compact"/>
              <w:jc w:val="left"/>
            </w:pPr>
            <w:r>
              <w:t xml:space="preserve">05</w:t>
            </w:r>
          </w:p>
        </w:tc>
        <w:tc>
          <w:tcPr/>
          <w:p>
            <w:pPr>
              <w:pStyle w:val="Compact"/>
              <w:jc w:val="left"/>
            </w:pPr>
            <w:r>
              <w:t xml:space="preserve">Permitting, Regulatory Compliance &amp; Municipal Coordination (CDMX)</w:t>
            </w:r>
          </w:p>
        </w:tc>
        <w:tc>
          <w:tcPr/>
          <w:p>
            <w:pPr>
              <w:pStyle w:val="Compact"/>
              <w:jc w:val="left"/>
            </w:pPr>
            <w:r>
              <w:t xml:space="preserve">8 weeks</w:t>
            </w:r>
          </w:p>
        </w:tc>
        <w:tc>
          <w:tcPr/>
          <w:p>
            <w:pPr>
              <w:pStyle w:val="Compact"/>
              <w:jc w:val="left"/>
            </w:pPr>
            <w:r>
              <w:t xml:space="preserve">$560,000.00</w:t>
            </w:r>
          </w:p>
        </w:tc>
      </w:tr>
      <w:tr>
        <w:tc>
          <w:tcPr/>
          <w:p>
            <w:pPr>
              <w:pStyle w:val="Compact"/>
              <w:jc w:val="left"/>
            </w:pPr>
            <w:r>
              <w:t xml:space="preserve">06</w:t>
            </w:r>
          </w:p>
        </w:tc>
        <w:tc>
          <w:tcPr/>
          <w:p>
            <w:pPr>
              <w:pStyle w:val="Compact"/>
              <w:jc w:val="left"/>
            </w:pPr>
            <w:r>
              <w:t xml:space="preserve">Construction Administration &amp; On-Site Supervision</w:t>
            </w:r>
          </w:p>
        </w:tc>
        <w:tc>
          <w:tcPr/>
          <w:p>
            <w:pPr>
              <w:pStyle w:val="Compact"/>
              <w:jc w:val="left"/>
            </w:pPr>
            <w:r>
              <w:t xml:space="preserve">18 months</w:t>
            </w:r>
          </w:p>
        </w:tc>
        <w:tc>
          <w:tcPr/>
          <w:p>
            <w:pPr>
              <w:pStyle w:val="Compact"/>
              <w:jc w:val="left"/>
            </w:pPr>
            <w:r>
              <w:t xml:space="preserve">$2,240,000.00</w:t>
            </w:r>
          </w:p>
        </w:tc>
      </w:tr>
      <w:tr>
        <w:tc>
          <w:tcPr/>
          <w:p>
            <w:pPr>
              <w:pStyle w:val="Compact"/>
              <w:jc w:val="left"/>
            </w:pPr>
            <w:r>
              <w:t xml:space="preserve">07</w:t>
            </w:r>
          </w:p>
        </w:tc>
        <w:tc>
          <w:tcPr/>
          <w:p>
            <w:pPr>
              <w:pStyle w:val="Compact"/>
              <w:jc w:val="left"/>
            </w:pPr>
            <w:r>
              <w:t xml:space="preserve">Post-Occupancy Evaluation Report</w:t>
            </w:r>
          </w:p>
        </w:tc>
        <w:tc>
          <w:tcPr/>
          <w:p>
            <w:pPr>
              <w:pStyle w:val="Compact"/>
              <w:jc w:val="left"/>
            </w:pPr>
            <w:r>
              <w:t xml:space="preserve">1 month</w:t>
            </w:r>
          </w:p>
        </w:tc>
        <w:tc>
          <w:tcPr/>
          <w:p>
            <w:pPr>
              <w:pStyle w:val="Compact"/>
              <w:jc w:val="left"/>
            </w:pPr>
            <w:r>
              <w:t xml:space="preserve">$185,000.00</w:t>
            </w:r>
          </w:p>
        </w:tc>
      </w:tr>
      <w:tr>
        <w:tc>
          <w:tcPr/>
          <w:p>
            <w:pPr>
              <w:pStyle w:val="Compact"/>
              <w:jc w:val="left"/>
            </w:pPr>
            <w:r>
              <w:t xml:space="preserve">08</w:t>
            </w:r>
          </w:p>
        </w:tc>
        <w:tc>
          <w:tcPr/>
          <w:p>
            <w:pPr>
              <w:pStyle w:val="Compact"/>
              <w:jc w:val="left"/>
            </w:pPr>
            <w:r>
              <w:t xml:space="preserve">Travel, Logistics &amp; Site Visits within Mexico, Mexico City</w:t>
            </w:r>
          </w:p>
        </w:tc>
        <w:tc>
          <w:tcPr/>
          <w:p>
            <w:pPr>
              <w:pStyle w:val="Compact"/>
              <w:jc w:val="left"/>
            </w:pPr>
            <w:r>
              <w:t xml:space="preserve">Project duration</w:t>
            </w:r>
          </w:p>
        </w:tc>
        <w:tc>
          <w:tcPr/>
          <w:p>
            <w:pPr>
              <w:pStyle w:val="Compact"/>
              <w:jc w:val="left"/>
            </w:pPr>
            <w:r>
              <w:t xml:space="preserve">$95,000.00</w:t>
            </w:r>
          </w:p>
        </w:tc>
      </w:tr>
      <w:tr>
        <w:tc>
          <w:tcPr>
            <w:gridSpan w:val="3"/>
          </w:tcPr>
          <w:p>
            <w:pPr>
              <w:pStyle w:val="Compact"/>
              <w:jc w:val="left"/>
            </w:pPr>
            <w:r>
              <w:t xml:space="preserve">Subtotal (before IVA)</w:t>
            </w:r>
          </w:p>
        </w:tc>
        <w:tc>
          <w:tcPr/>
          <w:p>
            <w:pPr>
              <w:pStyle w:val="Compact"/>
              <w:jc w:val="left"/>
            </w:pPr>
            <w:r>
              <w:t xml:space="preserve">$6,815,000.00</w:t>
            </w:r>
          </w:p>
        </w:tc>
      </w:tr>
      <w:tr>
        <w:tc>
          <w:tcPr>
            <w:gridSpan w:val="3"/>
          </w:tcPr>
          <w:p>
            <w:pPr>
              <w:pStyle w:val="Compact"/>
              <w:jc w:val="left"/>
            </w:pPr>
            <w:r>
              <w:t xml:space="preserve">IVA (16%)</w:t>
            </w:r>
          </w:p>
        </w:tc>
        <w:tc>
          <w:tcPr/>
          <w:p>
            <w:pPr>
              <w:pStyle w:val="Compact"/>
              <w:jc w:val="left"/>
            </w:pPr>
            <w:r>
              <w:t xml:space="preserve">$1,090,400.00</w:t>
            </w:r>
          </w:p>
        </w:tc>
      </w:tr>
      <w:tr>
        <w:tc>
          <w:tcPr>
            <w:gridSpan w:val="3"/>
          </w:tcPr>
          <w:p>
            <w:pPr>
              <w:pStyle w:val="Compact"/>
              <w:jc w:val="left"/>
            </w:pPr>
            <w:r>
              <w:rPr>
                <w:bCs/>
                <w:b/>
              </w:rPr>
              <w:t xml:space="preserve">TOTAL QUOTATION ESTIMATE AMOUNT</w:t>
            </w:r>
          </w:p>
        </w:tc>
        <w:tc>
          <w:tcPr/>
          <w:p>
            <w:pPr>
              <w:pStyle w:val="Compact"/>
              <w:jc w:val="left"/>
            </w:pPr>
            <w:r>
              <w:rPr>
                <w:bCs/>
                <w:b/>
              </w:rPr>
              <w:t xml:space="preserve">$7,905,400.00 MXN</w:t>
            </w:r>
          </w:p>
        </w:tc>
      </w:tr>
    </w:tbl>
    <w:bookmarkEnd w:id="23"/>
    <w:bookmarkStart w:id="24" w:name="payment-schedule"/>
    <w:p>
      <w:pPr>
        <w:pStyle w:val="Heading2"/>
      </w:pPr>
      <w:r>
        <w:t xml:space="preserve">4. Payment Schedule</w:t>
      </w:r>
    </w:p>
    <w:p>
      <w:pPr>
        <w:pStyle w:val="FirstParagraph"/>
      </w:pPr>
      <w:r>
        <w:t xml:space="preserve">In accordance with this Quotation Estimate, the Architect requests payment in the following installments, each due within fifteen (15) business days of invoice issuance:</w:t>
      </w:r>
    </w:p>
    <w:p>
      <w:pPr>
        <w:numPr>
          <w:ilvl w:val="0"/>
          <w:numId w:val="1002"/>
        </w:numPr>
        <w:pStyle w:val="Compact"/>
      </w:pPr>
      <w:r>
        <w:rPr>
          <w:bCs/>
          <w:b/>
        </w:rPr>
        <w:t xml:space="preserve">Advance Payment (30%):</w:t>
      </w:r>
      <w:r>
        <w:t xml:space="preserve"> </w:t>
      </w:r>
      <w:r>
        <w:t xml:space="preserve">$2,371,620.00 MXN — Due upon execution of the professional services contract.</w:t>
      </w:r>
    </w:p>
    <w:p>
      <w:pPr>
        <w:numPr>
          <w:ilvl w:val="0"/>
          <w:numId w:val="1002"/>
        </w:numPr>
        <w:pStyle w:val="Compact"/>
      </w:pPr>
      <w:r>
        <w:rPr>
          <w:bCs/>
          <w:b/>
        </w:rPr>
        <w:t xml:space="preserve">Progress Payment 1 (25%):</w:t>
      </w:r>
      <w:r>
        <w:t xml:space="preserve"> </w:t>
      </w:r>
      <w:r>
        <w:t xml:space="preserve">$1,976,350.00 MXN — Due upon approval of Schematic Design.</w:t>
      </w:r>
    </w:p>
    <w:p>
      <w:pPr>
        <w:numPr>
          <w:ilvl w:val="0"/>
          <w:numId w:val="1002"/>
        </w:numPr>
        <w:pStyle w:val="Compact"/>
      </w:pPr>
      <w:r>
        <w:rPr>
          <w:bCs/>
          <w:b/>
        </w:rPr>
        <w:t xml:space="preserve">Progress Payment 2 (25%):</w:t>
      </w:r>
      <w:r>
        <w:t xml:space="preserve"> </w:t>
      </w:r>
      <w:r>
        <w:t xml:space="preserve">$1,976,350.00 MXN — Due upon delivery of Construction Documentation.</w:t>
      </w:r>
    </w:p>
    <w:p>
      <w:pPr>
        <w:numPr>
          <w:ilvl w:val="0"/>
          <w:numId w:val="1002"/>
        </w:numPr>
        <w:pStyle w:val="Compact"/>
      </w:pPr>
      <w:r>
        <w:rPr>
          <w:bCs/>
          <w:b/>
        </w:rPr>
        <w:t xml:space="preserve">Progress Payment 3 (15%):</w:t>
      </w:r>
      <w:r>
        <w:t xml:space="preserve"> </w:t>
      </w:r>
      <w:r>
        <w:t xml:space="preserve">$1,185,810.00 MXN — Due upon issuance of the building permit by Mexico City authorities.</w:t>
      </w:r>
    </w:p>
    <w:p>
      <w:pPr>
        <w:numPr>
          <w:ilvl w:val="0"/>
          <w:numId w:val="1002"/>
        </w:numPr>
        <w:pStyle w:val="Compact"/>
      </w:pPr>
      <w:r>
        <w:rPr>
          <w:bCs/>
          <w:b/>
        </w:rPr>
        <w:t xml:space="preserve">Final Payment (5%):</w:t>
      </w:r>
      <w:r>
        <w:t xml:space="preserve"> </w:t>
      </w:r>
      <w:r>
        <w:t xml:space="preserve">$395,270.00 MXN — Due upon delivery of the Post-Occupancy Evaluation Report.</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 Quotation Estimate is non-binding until formally accepted in writing by the Client and converted into a definitive professional services agreement governed by the Civil Code of the State of Mexico City and applicable federal legislation of the United Mexican States.</w:t>
      </w:r>
    </w:p>
    <w:p>
      <w:pPr>
        <w:pStyle w:val="BodyText"/>
      </w:pPr>
      <w:r>
        <w:rPr>
          <w:bCs/>
          <w:b/>
        </w:rPr>
        <w:t xml:space="preserve">5.2</w:t>
      </w:r>
      <w:r>
        <w:t xml:space="preserve"> </w:t>
      </w:r>
      <w:r>
        <w:t xml:space="preserve">The Architect reserves the right to revise the fees outlined in this Quotation Estimate should the scope of work be materially altered by the Client. Any such revisions shall be documented in a written addendum signed by both parties.</w:t>
      </w:r>
    </w:p>
    <w:p>
      <w:pPr>
        <w:pStyle w:val="BodyText"/>
      </w:pPr>
      <w:r>
        <w:rPr>
          <w:bCs/>
          <w:b/>
        </w:rPr>
        <w:t xml:space="preserve">5.3</w:t>
      </w:r>
      <w:r>
        <w:t xml:space="preserve"> </w:t>
      </w:r>
      <w:r>
        <w:t xml:space="preserve">All intellectual property rights in the architectural designs, drawings, and documentation produced by the Architect shall remain the exclusive property of Arquitectura Integral CDMX, S.A. de C.V. The Client is granted a non-exclusive, non-transferable license to use the deliverables solely for the purpose of constructing the project in Mexico, Mexico City.</w:t>
      </w:r>
    </w:p>
    <w:p>
      <w:pPr>
        <w:pStyle w:val="BodyText"/>
      </w:pPr>
      <w:r>
        <w:rPr>
          <w:bCs/>
          <w:b/>
        </w:rPr>
        <w:t xml:space="preserve">5.4</w:t>
      </w:r>
      <w:r>
        <w:t xml:space="preserve"> </w:t>
      </w:r>
      <w:r>
        <w:t xml:space="preserve">The Architect shall maintain professional liability insurance with a minimum coverage of $10,000,000.00 MXN throughout the duration of the engagement, as required by the Colegio de Arquitectos de la Ciudad de México.</w:t>
      </w:r>
    </w:p>
    <w:p>
      <w:pPr>
        <w:pStyle w:val="BodyText"/>
      </w:pPr>
      <w:r>
        <w:rPr>
          <w:bCs/>
          <w:b/>
        </w:rPr>
        <w:t xml:space="preserve">5.5</w:t>
      </w:r>
      <w:r>
        <w:t xml:space="preserve"> </w:t>
      </w:r>
      <w:r>
        <w:t xml:space="preserve">Disputes arising from this Quotation Estimate or the subsequent contract shall be resolved through binding arbitration in accordance with the rules of the Centro de Arbitraje y Conciliación (CEAC) located in Mexico, Mexico City.</w:t>
      </w:r>
    </w:p>
    <w:p>
      <w:pPr>
        <w:pStyle w:val="BodyText"/>
      </w:pPr>
      <w:r>
        <w:rPr>
          <w:bCs/>
          <w:b/>
        </w:rPr>
        <w:t xml:space="preserve">5.6</w:t>
      </w:r>
      <w:r>
        <w:t xml:space="preserve"> </w:t>
      </w:r>
      <w:r>
        <w:t xml:space="preserve">This Quotation Estimate does not constitute a guarantee of construction costs, timelines, or regulatory approvals. The Architect's obligation is limited to the professional design and consulting services described herein.</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and agrees to the terms, conditions, and fee structure presented by the Architect for the Torre Reforma Norte project in Mexico, Mexico City. This acceptance shall be valid for a period of thirty (30) days from the date of signature.</w:t>
      </w:r>
    </w:p>
    <w:p>
      <w:pPr>
        <w:pStyle w:val="BodyText"/>
      </w:pPr>
      <w:r>
        <w:rPr>
          <w:bCs/>
          <w:b/>
        </w:rPr>
        <w:t xml:space="preserve">For the Architect:</w:t>
      </w:r>
    </w:p>
    <w:p>
      <w:pPr>
        <w:pStyle w:val="BodyText"/>
      </w:pPr>
      <w:r>
        <w:t xml:space="preserve">Arquitectura Integral CDMX, S.A. de C.V.</w:t>
      </w:r>
    </w:p>
    <w:p>
      <w:pPr>
        <w:pStyle w:val="BodyText"/>
      </w:pPr>
      <w:r>
        <w:rPr>
          <w:bCs/>
          <w:b/>
        </w:rPr>
        <w:t xml:space="preserve">Arq. Lucía Fernández Delgado</w:t>
      </w:r>
      <w:r>
        <w:br/>
      </w:r>
      <w:r>
        <w:t xml:space="preserve">Director General &amp; Lead Architect</w:t>
      </w:r>
      <w:r>
        <w:br/>
      </w:r>
      <w:r>
        <w:t xml:space="preserve">Cédula Profesional: 1847293</w:t>
      </w:r>
      <w:r>
        <w:br/>
      </w:r>
      <w:r>
        <w:t xml:space="preserve">Date: _______________</w:t>
      </w:r>
    </w:p>
    <w:p>
      <w:pPr>
        <w:pStyle w:val="BodyText"/>
      </w:pPr>
      <w:r>
        <w:rPr>
          <w:bCs/>
          <w:b/>
        </w:rPr>
        <w:t xml:space="preserve">For the Client:</w:t>
      </w:r>
    </w:p>
    <w:p>
      <w:pPr>
        <w:pStyle w:val="BodyText"/>
      </w:pPr>
      <w:r>
        <w:t xml:space="preserve">Desarrollos Inmobiliarios del Valle, S.A. de C.V.</w:t>
      </w:r>
    </w:p>
    <w:p>
      <w:pPr>
        <w:pStyle w:val="BodyText"/>
      </w:pPr>
      <w:r>
        <w:rPr>
          <w:bCs/>
          <w:b/>
        </w:rPr>
        <w:t xml:space="preserve">Ing. Carlos Mendoza Herrera</w:t>
      </w:r>
      <w:r>
        <w:br/>
      </w:r>
      <w:r>
        <w:t xml:space="preserve">Director de Proyectos</w:t>
      </w:r>
      <w:r>
        <w:br/>
      </w:r>
      <w:r>
        <w:t xml:space="preserve">RFC: DIV150312KL9</w:t>
      </w:r>
      <w:r>
        <w:br/>
      </w:r>
      <w:r>
        <w:t xml:space="preserve">Date: _______________</w:t>
      </w:r>
    </w:p>
    <w:p>
      <w:pPr>
        <w:pStyle w:val="BodyText"/>
      </w:pPr>
      <w:r>
        <w:rPr>
          <w:bCs/>
          <w:b/>
        </w:rPr>
        <w:t xml:space="preserve">Important Notice:</w:t>
      </w:r>
      <w:r>
        <w:t xml:space="preserve"> </w:t>
      </w:r>
      <w:r>
        <w:t xml:space="preserve">This Quotation Estimate has been prepared exclusively for the Client identified herein and may not be reproduced, distributed, or used for any other project without the prior written consent of the Architect. All regulatory references pertain to the current legislation in force in Mexico, Mexico City, as of the date of issue. The Architect recommends that the Client verify all applicable municipal and federal requirements with the relevant authorities prior to commencing construction activities.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Architect Services - Mexico Mexico City</dc:title>
  <dc:creator/>
  <dc:language>en</dc:language>
  <cp:keywords/>
  <dcterms:created xsi:type="dcterms:W3CDTF">2026-10-10T02:34:12Z</dcterms:created>
  <dcterms:modified xsi:type="dcterms:W3CDTF">2026-10-10T02:34:12Z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