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Architect Services — Morocco Casablanca</w:t>
      </w:r>
    </w:p>
    <w:p>
      <w:pPr>
        <w:pStyle w:val="BodyText"/>
      </w:pPr>
      <w:r>
        <w:t xml:space="preserve">Reference No: QE-2025-CAS-0847 | Date: June 15, 2025</w:t>
      </w:r>
    </w:p>
    <w:bookmarkEnd w:id="20"/>
    <w:p>
      <w:pPr>
        <w:pStyle w:val="BodyText"/>
      </w:pPr>
      <w:r>
        <w:rPr>
          <w:bCs/>
          <w:b/>
        </w:rPr>
        <w:t xml:space="preserve">Prepared By:</w:t>
      </w:r>
      <w:r>
        <w:br/>
      </w:r>
      <w:r>
        <w:t xml:space="preserve">Atelier Hassan Architectes</w:t>
      </w:r>
      <w:r>
        <w:br/>
      </w:r>
      <w:r>
        <w:t xml:space="preserve">45 Boulevard Mohammed V</w:t>
      </w:r>
      <w:r>
        <w:br/>
      </w:r>
      <w:r>
        <w:t xml:space="preserve">Morocco Casablanca, 20000</w:t>
      </w:r>
      <w:r>
        <w:br/>
      </w:r>
      <w:r>
        <w:t xml:space="preserve">Tel: +212 522-345-678</w:t>
      </w:r>
      <w:r>
        <w:br/>
      </w:r>
      <w:r>
        <w:t xml:space="preserve">Email: contact@atelierhassan.ma</w:t>
      </w:r>
      <w:r>
        <w:br/>
      </w:r>
      <w:r>
        <w:t xml:space="preserve">RC: 458721-CAS | IF: 40258763</w:t>
      </w:r>
    </w:p>
    <w:p>
      <w:pPr>
        <w:pStyle w:val="BodyText"/>
      </w:pPr>
      <w:r>
        <w:rPr>
          <w:bCs/>
          <w:b/>
        </w:rPr>
        <w:t xml:space="preserve">Prepared For:</w:t>
      </w:r>
      <w:r>
        <w:br/>
      </w:r>
      <w:r>
        <w:t xml:space="preserve">Mr. Youssef El Amrani</w:t>
      </w:r>
      <w:r>
        <w:br/>
      </w:r>
      <w:r>
        <w:t xml:space="preserve">12 Rue Ibn Sina, Quartier Gauthier</w:t>
      </w:r>
      <w:r>
        <w:br/>
      </w:r>
      <w:r>
        <w:t xml:space="preserve">Morocco Casablanca, 20000</w:t>
      </w:r>
      <w:r>
        <w:br/>
      </w:r>
      <w:r>
        <w:t xml:space="preserve">Tel: +212 661-234-567</w:t>
      </w:r>
      <w:r>
        <w:br/>
      </w:r>
      <w:r>
        <w:t xml:space="preserve">Email: y.elamrani@gmail.com</w:t>
      </w:r>
    </w:p>
    <w:bookmarkStart w:id="21"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by Atelier Hassan Architectes, a licensed</w:t>
      </w:r>
      <w:r>
        <w:t xml:space="preserve"> </w:t>
      </w:r>
      <w:r>
        <w:t xml:space="preserve">Architect</w:t>
      </w:r>
      <w:r>
        <w:t xml:space="preserve"> </w:t>
      </w:r>
      <w:r>
        <w:t xml:space="preserve">firm registered with the Moroccan Order of Architects (Ordre des Architectes du Maroc), to provide comprehensive architectural design and consulting services for a residential villa project located in the Anfa district of</w:t>
      </w:r>
      <w:r>
        <w:t xml:space="preserve"> </w:t>
      </w:r>
      <w:r>
        <w:t xml:space="preserve">Morocco Casablanca</w:t>
      </w:r>
      <w:r>
        <w:t xml:space="preserve">. The project encompasses a 450 m² plot with a proposed three-story residence featuring modern Moroccan architectural elements, landscaped gardens, and a private swimming pool.</w:t>
      </w:r>
    </w:p>
    <w:p>
      <w:pPr>
        <w:pStyle w:val="BodyText"/>
      </w:pPr>
      <w:r>
        <w:t xml:space="preserve">As a registered</w:t>
      </w:r>
      <w:r>
        <w:t xml:space="preserve"> </w:t>
      </w:r>
      <w:r>
        <w:t xml:space="preserve">Architect</w:t>
      </w:r>
      <w:r>
        <w:t xml:space="preserve"> </w:t>
      </w:r>
      <w:r>
        <w:t xml:space="preserve">operating in</w:t>
      </w:r>
      <w:r>
        <w:t xml:space="preserve"> </w:t>
      </w:r>
      <w:r>
        <w:t xml:space="preserve">Morocco Casablanca</w:t>
      </w:r>
      <w:r>
        <w:t xml:space="preserve">, our firm adheres to all national building codes, the Moroccan Urban Planning Code (Code de l'Urbanisme et de la Construction), and the specific zoning regulations of the Casablanca-Settat region. This</w:t>
      </w:r>
      <w:r>
        <w:t xml:space="preserve"> </w:t>
      </w:r>
      <w:r>
        <w:t xml:space="preserve">Quotation Estimate</w:t>
      </w:r>
      <w:r>
        <w:t xml:space="preserve"> </w:t>
      </w:r>
      <w:r>
        <w:t xml:space="preserve">reflects our professional assessment of the scope, timeline, and associated costs for delivering the full architectural package required for construction authorization and execution.</w:t>
      </w:r>
    </w:p>
    <w:bookmarkEnd w:id="21"/>
    <w:bookmarkStart w:id="22" w:name="scope-of-architect-services"/>
    <w:p>
      <w:pPr>
        <w:pStyle w:val="Heading2"/>
      </w:pPr>
      <w:r>
        <w:t xml:space="preserve">2. Scope of Architect Services</w:t>
      </w:r>
    </w:p>
    <w:p>
      <w:pPr>
        <w:pStyle w:val="FirstParagraph"/>
      </w:pPr>
      <w:r>
        <w:t xml:space="preserve">The</w:t>
      </w:r>
      <w:r>
        <w:t xml:space="preserve"> </w:t>
      </w:r>
      <w:r>
        <w:t xml:space="preserve">Architect</w:t>
      </w:r>
      <w:r>
        <w:t xml:space="preserve"> </w:t>
      </w:r>
      <w:r>
        <w:t xml:space="preserve">services outlined in this</w:t>
      </w:r>
      <w:r>
        <w:t xml:space="preserve"> </w:t>
      </w:r>
      <w:r>
        <w:t xml:space="preserve">Quotation Estimate</w:t>
      </w:r>
      <w:r>
        <w:t xml:space="preserve"> </w:t>
      </w:r>
      <w:r>
        <w:t xml:space="preserve">include the following phases of work, all to be executed in compliance with the regulatory framework of</w:t>
      </w:r>
      <w:r>
        <w:t xml:space="preserve"> </w:t>
      </w:r>
      <w:r>
        <w:t xml:space="preserve">Morocco Casablanca</w:t>
      </w:r>
      <w:r>
        <w:t xml:space="preserve">:</w:t>
      </w:r>
    </w:p>
    <w:p>
      <w:pPr>
        <w:numPr>
          <w:ilvl w:val="0"/>
          <w:numId w:val="1001"/>
        </w:numPr>
        <w:pStyle w:val="Compact"/>
      </w:pPr>
      <w:r>
        <w:rPr>
          <w:bCs/>
          <w:b/>
        </w:rPr>
        <w:t xml:space="preserve">Feasibility Study &amp; Site Analysis:</w:t>
      </w:r>
      <w:r>
        <w:t xml:space="preserve"> </w:t>
      </w:r>
      <w:r>
        <w:t xml:space="preserve">Topographical survey review, soil condition assessment, solar orientation study, and compliance verification with the local Plan d'Aménagement de Zone (PAZ) in Casablanca.</w:t>
      </w:r>
    </w:p>
    <w:p>
      <w:pPr>
        <w:numPr>
          <w:ilvl w:val="0"/>
          <w:numId w:val="1001"/>
        </w:numPr>
        <w:pStyle w:val="Compact"/>
      </w:pPr>
      <w:r>
        <w:rPr>
          <w:bCs/>
          <w:b/>
        </w:rPr>
        <w:t xml:space="preserve">Conceptual Design:</w:t>
      </w:r>
      <w:r>
        <w:t xml:space="preserve"> </w:t>
      </w:r>
      <w:r>
        <w:t xml:space="preserve">Development of three (3) alternative architectural concepts incorporating Moroccan vernacular design principles, modern spatial planning, and energy-efficient building orientation suited to the Casablanca climate.</w:t>
      </w:r>
    </w:p>
    <w:p>
      <w:pPr>
        <w:numPr>
          <w:ilvl w:val="0"/>
          <w:numId w:val="1001"/>
        </w:numPr>
        <w:pStyle w:val="Compact"/>
      </w:pPr>
      <w:r>
        <w:rPr>
          <w:bCs/>
          <w:b/>
        </w:rPr>
        <w:t xml:space="preserve">Preliminary Design:</w:t>
      </w:r>
      <w:r>
        <w:t xml:space="preserve"> </w:t>
      </w:r>
      <w:r>
        <w:t xml:space="preserve">Detailed floor plans, elevations, and cross-sections for all three levels, including the basement parking area, ground-floor living spaces, and upper-floor bedrooms with terrace access.</w:t>
      </w:r>
    </w:p>
    <w:p>
      <w:pPr>
        <w:numPr>
          <w:ilvl w:val="0"/>
          <w:numId w:val="1001"/>
        </w:numPr>
        <w:pStyle w:val="Compact"/>
      </w:pPr>
      <w:r>
        <w:rPr>
          <w:bCs/>
          <w:b/>
        </w:rPr>
        <w:t xml:space="preserve">Construction Documentation:</w:t>
      </w:r>
      <w:r>
        <w:t xml:space="preserve"> </w:t>
      </w:r>
      <w:r>
        <w:t xml:space="preserve">Full set of technical drawings including structural coordination, MEP (Mechanical, Electrical, Plumbing) layouts, façade detailing, and landscape architecture plans.</w:t>
      </w:r>
    </w:p>
    <w:p>
      <w:pPr>
        <w:numPr>
          <w:ilvl w:val="0"/>
          <w:numId w:val="1001"/>
        </w:numPr>
        <w:pStyle w:val="Compact"/>
      </w:pPr>
      <w:r>
        <w:rPr>
          <w:bCs/>
          <w:b/>
        </w:rPr>
        <w:t xml:space="preserve">Permitting &amp; Regulatory Compliance:</w:t>
      </w:r>
      <w:r>
        <w:t xml:space="preserve"> </w:t>
      </w:r>
      <w:r>
        <w:t xml:space="preserve">Preparation and submission of the complete building permit dossier (Permis de Construire) to the Mairie de Casablanca, including all required stamped drawings and technical memoranda.</w:t>
      </w:r>
    </w:p>
    <w:p>
      <w:pPr>
        <w:numPr>
          <w:ilvl w:val="0"/>
          <w:numId w:val="1001"/>
        </w:numPr>
        <w:pStyle w:val="Compact"/>
      </w:pPr>
      <w:r>
        <w:rPr>
          <w:bCs/>
          <w:b/>
        </w:rPr>
        <w:t xml:space="preserve">Construction Supervision:</w:t>
      </w:r>
      <w:r>
        <w:t xml:space="preserve"> </w:t>
      </w:r>
      <w:r>
        <w:t xml:space="preserve">On-site architectural supervision for a period of eighteen (18) months, including weekly site visits, progress reporting, and coordination with the general contractor.</w:t>
      </w:r>
    </w:p>
    <w:p>
      <w:pPr>
        <w:numPr>
          <w:ilvl w:val="0"/>
          <w:numId w:val="1001"/>
        </w:numPr>
        <w:pStyle w:val="Compact"/>
      </w:pPr>
      <w:r>
        <w:rPr>
          <w:bCs/>
          <w:b/>
        </w:rPr>
        <w:t xml:space="preserve">Interior Design Consultation:</w:t>
      </w:r>
      <w:r>
        <w:t xml:space="preserve"> </w:t>
      </w:r>
      <w:r>
        <w:t xml:space="preserve">Basic interior layout recommendations, material palette selection, and coordination with specialized interior design consultants for the main living areas.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Cost (MAD)</w:t>
            </w:r>
          </w:p>
        </w:tc>
      </w:tr>
      <w:tr>
        <w:tc>
          <w:tcPr/>
          <w:p>
            <w:pPr>
              <w:pStyle w:val="Compact"/>
              <w:jc w:val="left"/>
            </w:pPr>
            <w:r>
              <w:t xml:space="preserve">01</w:t>
            </w:r>
          </w:p>
        </w:tc>
        <w:tc>
          <w:tcPr/>
          <w:p>
            <w:pPr>
              <w:pStyle w:val="Compact"/>
              <w:jc w:val="left"/>
            </w:pPr>
            <w:r>
              <w:t xml:space="preserve">Feasibility Study, Site Analysis &amp; Regulatory Compliance Review</w:t>
            </w:r>
          </w:p>
        </w:tc>
        <w:tc>
          <w:tcPr/>
          <w:p>
            <w:pPr>
              <w:pStyle w:val="Compact"/>
              <w:jc w:val="left"/>
            </w:pPr>
            <w:r>
              <w:t xml:space="preserve">3 weeks</w:t>
            </w:r>
          </w:p>
        </w:tc>
        <w:tc>
          <w:tcPr/>
          <w:p>
            <w:pPr>
              <w:pStyle w:val="Compact"/>
              <w:jc w:val="left"/>
            </w:pPr>
            <w:r>
              <w:t xml:space="preserve">28,000.00</w:t>
            </w:r>
          </w:p>
        </w:tc>
      </w:tr>
      <w:tr>
        <w:tc>
          <w:tcPr/>
          <w:p>
            <w:pPr>
              <w:pStyle w:val="Compact"/>
              <w:jc w:val="left"/>
            </w:pPr>
            <w:r>
              <w:t xml:space="preserve">02</w:t>
            </w:r>
          </w:p>
        </w:tc>
        <w:tc>
          <w:tcPr/>
          <w:p>
            <w:pPr>
              <w:pStyle w:val="Compact"/>
              <w:jc w:val="left"/>
            </w:pPr>
            <w:r>
              <w:t xml:space="preserve">Conceptual Design Development (3 alternatives)</w:t>
            </w:r>
          </w:p>
        </w:tc>
        <w:tc>
          <w:tcPr/>
          <w:p>
            <w:pPr>
              <w:pStyle w:val="Compact"/>
              <w:jc w:val="left"/>
            </w:pPr>
            <w:r>
              <w:t xml:space="preserve">5 weeks</w:t>
            </w:r>
          </w:p>
        </w:tc>
        <w:tc>
          <w:tcPr/>
          <w:p>
            <w:pPr>
              <w:pStyle w:val="Compact"/>
              <w:jc w:val="left"/>
            </w:pPr>
            <w:r>
              <w:t xml:space="preserve">65,000.00</w:t>
            </w:r>
          </w:p>
        </w:tc>
      </w:tr>
      <w:tr>
        <w:tc>
          <w:tcPr/>
          <w:p>
            <w:pPr>
              <w:pStyle w:val="Compact"/>
              <w:jc w:val="left"/>
            </w:pPr>
            <w:r>
              <w:t xml:space="preserve">03</w:t>
            </w:r>
          </w:p>
        </w:tc>
        <w:tc>
          <w:tcPr/>
          <w:p>
            <w:pPr>
              <w:pStyle w:val="Compact"/>
              <w:jc w:val="left"/>
            </w:pPr>
            <w:r>
              <w:t xml:space="preserve">Preliminary Design &amp; Client Approval Cycle</w:t>
            </w:r>
          </w:p>
        </w:tc>
        <w:tc>
          <w:tcPr/>
          <w:p>
            <w:pPr>
              <w:pStyle w:val="Compact"/>
              <w:jc w:val="left"/>
            </w:pPr>
            <w:r>
              <w:t xml:space="preserve">4 weeks</w:t>
            </w:r>
          </w:p>
        </w:tc>
        <w:tc>
          <w:tcPr/>
          <w:p>
            <w:pPr>
              <w:pStyle w:val="Compact"/>
              <w:jc w:val="left"/>
            </w:pPr>
            <w:r>
              <w:t xml:space="preserve">52,000.00</w:t>
            </w:r>
          </w:p>
        </w:tc>
      </w:tr>
      <w:tr>
        <w:tc>
          <w:tcPr/>
          <w:p>
            <w:pPr>
              <w:pStyle w:val="Compact"/>
              <w:jc w:val="left"/>
            </w:pPr>
            <w:r>
              <w:t xml:space="preserve">04</w:t>
            </w:r>
          </w:p>
        </w:tc>
        <w:tc>
          <w:tcPr/>
          <w:p>
            <w:pPr>
              <w:pStyle w:val="Compact"/>
              <w:jc w:val="left"/>
            </w:pPr>
            <w:r>
              <w:t xml:space="preserve">Full Construction Documentation &amp; Technical Drawings</w:t>
            </w:r>
          </w:p>
        </w:tc>
        <w:tc>
          <w:tcPr/>
          <w:p>
            <w:pPr>
              <w:pStyle w:val="Compact"/>
              <w:jc w:val="left"/>
            </w:pPr>
            <w:r>
              <w:t xml:space="preserve">8 weeks</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Building Permit Dossier Preparation &amp; Mairie Submission</w:t>
            </w:r>
          </w:p>
        </w:tc>
        <w:tc>
          <w:tcPr/>
          <w:p>
            <w:pPr>
              <w:pStyle w:val="Compact"/>
              <w:jc w:val="left"/>
            </w:pPr>
            <w:r>
              <w:t xml:space="preserve">4 weeks</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Construction Phase Architectural Supervision (18 months)</w:t>
            </w:r>
          </w:p>
        </w:tc>
        <w:tc>
          <w:tcPr/>
          <w:p>
            <w:pPr>
              <w:pStyle w:val="Compact"/>
              <w:jc w:val="left"/>
            </w:pPr>
            <w:r>
              <w:t xml:space="preserve">18 months</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Interior Design Consultation &amp; Material Coordination</w:t>
            </w:r>
          </w:p>
        </w:tc>
        <w:tc>
          <w:tcPr/>
          <w:p>
            <w:pPr>
              <w:pStyle w:val="Compact"/>
              <w:jc w:val="left"/>
            </w:pPr>
            <w:r>
              <w:t xml:space="preserve">6 weeks</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Landscape Architecture &amp; Pool Design</w:t>
            </w:r>
          </w:p>
        </w:tc>
        <w:tc>
          <w:tcPr/>
          <w:p>
            <w:pPr>
              <w:pStyle w:val="Compact"/>
              <w:jc w:val="left"/>
            </w:pPr>
            <w:r>
              <w:t xml:space="preserve">4 weeks</w:t>
            </w:r>
          </w:p>
        </w:tc>
        <w:tc>
          <w:tcPr/>
          <w:p>
            <w:pPr>
              <w:pStyle w:val="Compact"/>
              <w:jc w:val="left"/>
            </w:pPr>
            <w:r>
              <w:t xml:space="preserve">38,000.00</w:t>
            </w:r>
          </w:p>
        </w:tc>
      </w:tr>
      <w:tr>
        <w:tc>
          <w:tcPr/>
          <w:p>
            <w:pPr>
              <w:pStyle w:val="Compact"/>
              <w:jc w:val="left"/>
            </w:pPr>
            <w:r>
              <w:t xml:space="preserve">09</w:t>
            </w:r>
          </w:p>
        </w:tc>
        <w:tc>
          <w:tcPr/>
          <w:p>
            <w:pPr>
              <w:pStyle w:val="Compact"/>
              <w:jc w:val="left"/>
            </w:pPr>
            <w:r>
              <w:t xml:space="preserve">Project Management &amp; Coordination (ongoing)</w:t>
            </w:r>
          </w:p>
        </w:tc>
        <w:tc>
          <w:tcPr/>
          <w:p>
            <w:pPr>
              <w:pStyle w:val="Compact"/>
              <w:jc w:val="left"/>
            </w:pPr>
            <w:r>
              <w:t xml:space="preserve">Full project</w:t>
            </w:r>
          </w:p>
        </w:tc>
        <w:tc>
          <w:tcPr/>
          <w:p>
            <w:pPr>
              <w:pStyle w:val="Compact"/>
              <w:jc w:val="left"/>
            </w:pPr>
            <w:r>
              <w:t xml:space="preserve">45,000.00</w:t>
            </w:r>
          </w:p>
        </w:tc>
      </w:tr>
      <w:tr>
        <w:tc>
          <w:tcPr/>
          <w:p>
            <w:pPr>
              <w:pStyle w:val="Compact"/>
              <w:jc w:val="left"/>
            </w:pPr>
            <w:r>
              <w:t xml:space="preserve">10</w:t>
            </w:r>
          </w:p>
        </w:tc>
        <w:tc>
          <w:tcPr/>
          <w:p>
            <w:pPr>
              <w:pStyle w:val="Compact"/>
              <w:jc w:val="left"/>
            </w:pPr>
            <w:r>
              <w:t xml:space="preserve">As-Built Documentation &amp; Final Handover Package</w:t>
            </w:r>
          </w:p>
        </w:tc>
        <w:tc>
          <w:tcPr/>
          <w:p>
            <w:pPr>
              <w:pStyle w:val="Compact"/>
              <w:jc w:val="left"/>
            </w:pPr>
            <w:r>
              <w:t xml:space="preserve">3 weeks</w:t>
            </w:r>
          </w:p>
        </w:tc>
        <w:tc>
          <w:tcPr/>
          <w:p>
            <w:pPr>
              <w:pStyle w:val="Compact"/>
              <w:jc w:val="left"/>
            </w:pPr>
            <w:r>
              <w:t xml:space="preserve">22,000.00</w:t>
            </w:r>
          </w:p>
        </w:tc>
      </w:tr>
      <w:tr>
        <w:tc>
          <w:tcPr>
            <w:gridSpan w:val="3"/>
          </w:tcPr>
          <w:p>
            <w:pPr>
              <w:pStyle w:val="Compact"/>
              <w:jc w:val="left"/>
            </w:pPr>
            <w:r>
              <w:t xml:space="preserve">TOTAL ESTIMATED COST (MAD)</w:t>
            </w:r>
          </w:p>
        </w:tc>
        <w:tc>
          <w:tcPr/>
          <w:p>
            <w:pPr>
              <w:pStyle w:val="Compact"/>
              <w:jc w:val="left"/>
            </w:pPr>
            <w:r>
              <w:t xml:space="preserve">602,000.00</w:t>
            </w:r>
          </w:p>
        </w:tc>
      </w:tr>
      <w:tr>
        <w:tc>
          <w:tcPr>
            <w:gridSpan w:val="3"/>
          </w:tcPr>
          <w:p>
            <w:pPr>
              <w:pStyle w:val="Compact"/>
              <w:jc w:val="left"/>
            </w:pPr>
            <w:r>
              <w:t xml:space="preserve">VAT (20%)</w:t>
            </w:r>
          </w:p>
        </w:tc>
        <w:tc>
          <w:tcPr/>
          <w:p>
            <w:pPr>
              <w:pStyle w:val="Compact"/>
              <w:jc w:val="left"/>
            </w:pPr>
            <w:r>
              <w:t xml:space="preserve">120,400.00</w:t>
            </w:r>
          </w:p>
        </w:tc>
      </w:tr>
      <w:tr>
        <w:tc>
          <w:tcPr>
            <w:gridSpan w:val="3"/>
          </w:tcPr>
          <w:p>
            <w:pPr>
              <w:pStyle w:val="Compact"/>
              <w:jc w:val="left"/>
            </w:pPr>
            <w:r>
              <w:t xml:space="preserve">GRAND TOTAL (MAD)</w:t>
            </w:r>
          </w:p>
        </w:tc>
        <w:tc>
          <w:tcPr/>
          <w:p>
            <w:pPr>
              <w:pStyle w:val="Compact"/>
              <w:jc w:val="left"/>
            </w:pPr>
            <w:r>
              <w:t xml:space="preserve">722,400.00</w:t>
            </w:r>
          </w:p>
        </w:tc>
      </w:tr>
    </w:tbl>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proposes the following payment milestones, aligned with the delivery of each</w:t>
      </w:r>
      <w:r>
        <w:t xml:space="preserve"> </w:t>
      </w:r>
      <w:r>
        <w:t xml:space="preserve">Architect</w:t>
      </w:r>
      <w:r>
        <w:t xml:space="preserve"> </w:t>
      </w:r>
      <w:r>
        <w:t xml:space="preserve">service phase:</w:t>
      </w:r>
    </w:p>
    <w:p>
      <w:pPr>
        <w:numPr>
          <w:ilvl w:val="0"/>
          <w:numId w:val="1002"/>
        </w:numPr>
        <w:pStyle w:val="Compact"/>
      </w:pPr>
      <w:r>
        <w:rPr>
          <w:bCs/>
          <w:b/>
        </w:rPr>
        <w:t xml:space="preserve">20% (144,480.00 MAD):</w:t>
      </w:r>
      <w:r>
        <w:t xml:space="preserve"> </w:t>
      </w:r>
      <w:r>
        <w:t xml:space="preserve">Upon signing of the professional services contract and receipt of the initial deposit.</w:t>
      </w:r>
    </w:p>
    <w:p>
      <w:pPr>
        <w:numPr>
          <w:ilvl w:val="0"/>
          <w:numId w:val="1002"/>
        </w:numPr>
        <w:pStyle w:val="Compact"/>
      </w:pPr>
      <w:r>
        <w:rPr>
          <w:bCs/>
          <w:b/>
        </w:rPr>
        <w:t xml:space="preserve">25% (180,600.00 MAD):</w:t>
      </w:r>
      <w:r>
        <w:t xml:space="preserve"> </w:t>
      </w:r>
      <w:r>
        <w:t xml:space="preserve">Upon approval of the Conceptual Design and Preliminary Design phases.</w:t>
      </w:r>
    </w:p>
    <w:p>
      <w:pPr>
        <w:numPr>
          <w:ilvl w:val="0"/>
          <w:numId w:val="1002"/>
        </w:numPr>
        <w:pStyle w:val="Compact"/>
      </w:pPr>
      <w:r>
        <w:rPr>
          <w:bCs/>
          <w:b/>
        </w:rPr>
        <w:t xml:space="preserve">30% (216,720.00 MAD):</w:t>
      </w:r>
      <w:r>
        <w:t xml:space="preserve"> </w:t>
      </w:r>
      <w:r>
        <w:t xml:space="preserve">Upon delivery of the complete Construction Documentation set and submission of the permit dossier to the Mairie de Casablanca.</w:t>
      </w:r>
    </w:p>
    <w:p>
      <w:pPr>
        <w:numPr>
          <w:ilvl w:val="0"/>
          <w:numId w:val="1002"/>
        </w:numPr>
        <w:pStyle w:val="Compact"/>
      </w:pPr>
      <w:r>
        <w:rPr>
          <w:bCs/>
          <w:b/>
        </w:rPr>
        <w:t xml:space="preserve">25% (180,600.00 MAD):</w:t>
      </w:r>
      <w:r>
        <w:t xml:space="preserve"> </w:t>
      </w:r>
      <w:r>
        <w:t xml:space="preserve">Distributed monthly during the Construction Supervision phase, payable upon receipt of the monthly progress report from the</w:t>
      </w:r>
      <w:r>
        <w:t xml:space="preserve"> </w:t>
      </w:r>
      <w:r>
        <w:t xml:space="preserve">Architect</w:t>
      </w:r>
      <w:r>
        <w:t xml:space="preserv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sixty (60) calendar days from the date of issue. After this period, all rates and conditions are subject to revision.</w:t>
      </w:r>
    </w:p>
    <w:p>
      <w:pPr>
        <w:numPr>
          <w:ilvl w:val="0"/>
          <w:numId w:val="1003"/>
        </w:numPr>
        <w:pStyle w:val="Compact"/>
      </w:pPr>
      <w:r>
        <w:t xml:space="preserve">All fees quoted are in Moroccan Dirhams (MAD) and are inclusive of the</w:t>
      </w:r>
      <w:r>
        <w:t xml:space="preserve"> </w:t>
      </w:r>
      <w:r>
        <w:t xml:space="preserve">Architect</w:t>
      </w:r>
      <w:r>
        <w:t xml:space="preserve">'s professional honorarium as regulated by the Ordre des Architectes du Maroc.</w:t>
      </w:r>
    </w:p>
    <w:p>
      <w:pPr>
        <w:numPr>
          <w:ilvl w:val="0"/>
          <w:numId w:val="1003"/>
        </w:numPr>
        <w:pStyle w:val="Compact"/>
      </w:pPr>
      <w:r>
        <w:t xml:space="preserve">The</w:t>
      </w:r>
      <w:r>
        <w:t xml:space="preserve"> </w:t>
      </w:r>
      <w:r>
        <w:t xml:space="preserve">Architect</w:t>
      </w:r>
      <w:r>
        <w:t xml:space="preserve"> </w:t>
      </w:r>
      <w:r>
        <w:t xml:space="preserve">firm shall not be liable for delays caused by the client, third-party contractors, or regulatory authorities in</w:t>
      </w:r>
      <w:r>
        <w:t xml:space="preserve"> </w:t>
      </w:r>
      <w:r>
        <w:t xml:space="preserve">Morocco Casablanca</w:t>
      </w:r>
      <w:r>
        <w:t xml:space="preserve">.</w:t>
      </w:r>
    </w:p>
    <w:p>
      <w:pPr>
        <w:numPr>
          <w:ilvl w:val="0"/>
          <w:numId w:val="1003"/>
        </w:numPr>
        <w:pStyle w:val="Compact"/>
      </w:pPr>
      <w:r>
        <w:t xml:space="preserve">Any additional services beyond the scope defined in this</w:t>
      </w:r>
      <w:r>
        <w:t xml:space="preserve"> </w:t>
      </w:r>
      <w:r>
        <w:t xml:space="preserve">Quotation Estimate</w:t>
      </w:r>
      <w:r>
        <w:t xml:space="preserve"> </w:t>
      </w:r>
      <w:r>
        <w:t xml:space="preserve">shall be billed separately at the standard hourly rate of 1,200.00 MAD per hour.</w:t>
      </w:r>
    </w:p>
    <w:p>
      <w:pPr>
        <w:numPr>
          <w:ilvl w:val="0"/>
          <w:numId w:val="1003"/>
        </w:numPr>
        <w:pStyle w:val="Compact"/>
      </w:pPr>
      <w:r>
        <w:t xml:space="preserve">Intellectual property of all design documents, drawings, and plans produced by the</w:t>
      </w:r>
      <w:r>
        <w:t xml:space="preserve"> </w:t>
      </w:r>
      <w:r>
        <w:t xml:space="preserve">Architect</w:t>
      </w:r>
      <w:r>
        <w:t xml:space="preserve"> </w:t>
      </w:r>
      <w:r>
        <w:t xml:space="preserve">remains with Atelier Hassan Architectes until full payment is received.</w:t>
      </w:r>
    </w:p>
    <w:p>
      <w:pPr>
        <w:numPr>
          <w:ilvl w:val="0"/>
          <w:numId w:val="1003"/>
        </w:numPr>
        <w:pStyle w:val="Compact"/>
      </w:pPr>
      <w:r>
        <w:t xml:space="preserve">The project shall be executed in accordance with the Moroccan Civil Code, the Code de l'Urbanisme, and all applicable regulations of the Casablanca-Settat region.</w:t>
      </w:r>
    </w:p>
    <w:p>
      <w:pPr>
        <w:numPr>
          <w:ilvl w:val="0"/>
          <w:numId w:val="1003"/>
        </w:numPr>
        <w:pStyle w:val="Compact"/>
      </w:pPr>
      <w:r>
        <w:t xml:space="preserve">Disputes arising from this engagement shall be resolved through amicable negotiation, failing which they shall be submitted to the competent courts of</w:t>
      </w:r>
      <w:r>
        <w:t xml:space="preserve"> </w:t>
      </w:r>
      <w:r>
        <w:t xml:space="preserve">Morocco Casablanca</w:t>
      </w:r>
      <w:r>
        <w:t xml:space="preserve">.</w:t>
      </w:r>
    </w:p>
    <w:bookmarkEnd w:id="25"/>
    <w:bookmarkStart w:id="26" w:name="project-timeline-summary"/>
    <w:p>
      <w:pPr>
        <w:pStyle w:val="Heading2"/>
      </w:pPr>
      <w:r>
        <w:t xml:space="preserve">6. Project Timeline Summary</w:t>
      </w:r>
    </w:p>
    <w:p>
      <w:pPr>
        <w:pStyle w:val="FirstParagraph"/>
      </w:pPr>
      <w:r>
        <w:t xml:space="preserve">The total estimated duration for the complete</w:t>
      </w:r>
      <w:r>
        <w:t xml:space="preserve"> </w:t>
      </w:r>
      <w:r>
        <w:t xml:space="preserve">Architect</w:t>
      </w:r>
      <w:r>
        <w:t xml:space="preserve"> </w:t>
      </w:r>
      <w:r>
        <w:t xml:space="preserve">engagement, from initial feasibility study through final as-built documentation, is approximately twenty-four (24) months. The design and permitting phases are estimated at ten (10) months, while the construction supervision phase spans eighteen (18) months, with an overlap of four (4) months during the early construction period. All timelines are subject to the approval pace of the Mairie de Casablanca and the availability of the construction team.</w:t>
      </w:r>
    </w:p>
    <w:p>
      <w:pPr>
        <w:pStyle w:val="BodyText"/>
      </w:pPr>
      <w:r>
        <w:rPr>
          <w:bCs/>
          <w:b/>
        </w:rPr>
        <w:t xml:space="preserve">For Atelier Hassan Architectes</w:t>
      </w:r>
    </w:p>
    <w:p>
      <w:pPr>
        <w:pStyle w:val="BodyText"/>
      </w:pPr>
      <w:r>
        <w:t xml:space="preserve">Licensed Architect — Ordre des Architectes du Maroc</w:t>
      </w:r>
    </w:p>
    <w:p>
      <w:pPr>
        <w:pStyle w:val="BodyText"/>
      </w:pPr>
      <w:r>
        <w:t xml:space="preserve">Signature &amp; Stamp</w:t>
      </w:r>
    </w:p>
    <w:p>
      <w:pPr>
        <w:pStyle w:val="BodyText"/>
      </w:pPr>
      <w:r>
        <w:rPr>
          <w:bCs/>
          <w:b/>
        </w:rPr>
        <w:t xml:space="preserve">For the Client</w:t>
      </w:r>
    </w:p>
    <w:p>
      <w:pPr>
        <w:pStyle w:val="BodyText"/>
      </w:pPr>
      <w:r>
        <w:t xml:space="preserve">Mr. Youssef El Amrani</w:t>
      </w:r>
    </w:p>
    <w:p>
      <w:pPr>
        <w:pStyle w:val="BodyText"/>
      </w:pPr>
      <w:r>
        <w:t xml:space="preserve">Signature</w:t>
      </w:r>
    </w:p>
    <w:p>
      <w:pPr>
        <w:pStyle w:val="BodyText"/>
      </w:pPr>
      <w:r>
        <w:t xml:space="preserve">Atelier Hassan Architectes — 45 Boulevard Mohammed V, Morocco Casablanca, 20000 — RC: 458721-CAS — IF: 40258763</w:t>
      </w:r>
    </w:p>
    <w:p>
      <w:pPr>
        <w:pStyle w:val="BodyText"/>
      </w:pPr>
      <w:r>
        <w:t xml:space="preserve">This Quotation Estimate document is generated electronically and carries the same legal validity as a signed original. © 2025 Atelier Hassan Architectes.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Morocco Casablanca</dc:title>
  <dc:creator/>
  <dc:language>en</dc:language>
  <cp:keywords/>
  <dcterms:created xsi:type="dcterms:W3CDTF">2026-10-10T02:23:06Z</dcterms:created>
  <dcterms:modified xsi:type="dcterms:W3CDTF">2026-10-10T02:23:06Z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