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Architectural Design &amp; Consultation Services</w:t>
      </w:r>
    </w:p>
    <w:p>
      <w:pPr>
        <w:pStyle w:val="BodyText"/>
      </w:pPr>
      <w:r>
        <w:t xml:space="preserve">Amsterdam, Netherlands</w:t>
      </w:r>
    </w:p>
    <w:p>
      <w:pPr>
        <w:pStyle w:val="BodyText"/>
      </w:pPr>
      <w:r>
        <w:t xml:space="preserve">Reference No: QTE-AMS-2025-04782 | Date: 14 June 2025</w:t>
      </w:r>
    </w:p>
    <w:bookmarkEnd w:id="20"/>
    <w:bookmarkStart w:id="21" w:name="prepared-by-architect"/>
    <w:p>
      <w:pPr>
        <w:pStyle w:val="Heading3"/>
      </w:pPr>
      <w:r>
        <w:t xml:space="preserve">Prepared By (Architect)</w:t>
      </w:r>
    </w:p>
    <w:p>
      <w:pPr>
        <w:pStyle w:val="FirstParagraph"/>
      </w:pPr>
      <w:r>
        <w:rPr>
          <w:bCs/>
          <w:b/>
        </w:rPr>
        <w:t xml:space="preserve">Studio Van der Berg Architecten B.V.</w:t>
      </w:r>
    </w:p>
    <w:p>
      <w:pPr>
        <w:pStyle w:val="BodyText"/>
      </w:pPr>
      <w:r>
        <w:t xml:space="preserve">Herengracht 412, 1017 BX Amsterdam</w:t>
      </w:r>
    </w:p>
    <w:p>
      <w:pPr>
        <w:pStyle w:val="BodyText"/>
      </w:pPr>
      <w:r>
        <w:t xml:space="preserve">The Netherlands</w:t>
      </w:r>
    </w:p>
    <w:p>
      <w:pPr>
        <w:pStyle w:val="BodyText"/>
      </w:pPr>
      <w:r>
        <w:t xml:space="preserve">Tel: +31 (0)20 555 0187</w:t>
      </w:r>
    </w:p>
    <w:p>
      <w:pPr>
        <w:pStyle w:val="BodyText"/>
      </w:pPr>
      <w:r>
        <w:t xml:space="preserve">Email: info@vandenbergarchitecten.nl</w:t>
      </w:r>
    </w:p>
    <w:p>
      <w:pPr>
        <w:pStyle w:val="BodyText"/>
      </w:pPr>
      <w:r>
        <w:t xml:space="preserve">KvK: 64281937 | BTW: NL861234567B01</w:t>
      </w:r>
    </w:p>
    <w:bookmarkEnd w:id="21"/>
    <w:bookmarkStart w:id="22" w:name="prepared-for-client"/>
    <w:p>
      <w:pPr>
        <w:pStyle w:val="Heading3"/>
      </w:pPr>
      <w:r>
        <w:t xml:space="preserve">Prepared For (Client)</w:t>
      </w:r>
    </w:p>
    <w:p>
      <w:pPr>
        <w:pStyle w:val="FirstParagraph"/>
      </w:pPr>
      <w:r>
        <w:rPr>
          <w:bCs/>
          <w:b/>
        </w:rPr>
        <w:t xml:space="preserve">Mr. J. de Vries</w:t>
      </w:r>
    </w:p>
    <w:p>
      <w:pPr>
        <w:pStyle w:val="BodyText"/>
      </w:pPr>
      <w:r>
        <w:t xml:space="preserve">Keizersgracht 287, 1016 DS Amsterdam</w:t>
      </w:r>
    </w:p>
    <w:p>
      <w:pPr>
        <w:pStyle w:val="BodyText"/>
      </w:pPr>
      <w:r>
        <w:t xml:space="preserve">The Netherlands</w:t>
      </w:r>
    </w:p>
    <w:p>
      <w:pPr>
        <w:pStyle w:val="BodyText"/>
      </w:pPr>
      <w:r>
        <w:t xml:space="preserve">Tel: +31 (0)6 1234 5678</w:t>
      </w:r>
    </w:p>
    <w:p>
      <w:pPr>
        <w:pStyle w:val="BodyText"/>
      </w:pPr>
      <w:r>
        <w:t xml:space="preserve">Email: j.devries@clientmail.nl</w:t>
      </w:r>
    </w:p>
    <w:p>
      <w:pPr>
        <w:pStyle w:val="BodyText"/>
      </w:pPr>
      <w:r>
        <w:t xml:space="preserve">BSN: 1234.56.789</w:t>
      </w:r>
    </w:p>
    <w:bookmarkEnd w:id="22"/>
    <w:bookmarkStart w:id="23" w:name="project-description"/>
    <w:p>
      <w:pPr>
        <w:pStyle w:val="Heading2"/>
      </w:pPr>
      <w:r>
        <w:t xml:space="preserve">Project Description</w:t>
      </w:r>
    </w:p>
    <w:p>
      <w:pPr>
        <w:pStyle w:val="FirstParagraph"/>
      </w:pPr>
      <w:r>
        <w:t xml:space="preserve">This</w:t>
      </w:r>
      <w:r>
        <w:t xml:space="preserve"> </w:t>
      </w:r>
      <w:r>
        <w:t xml:space="preserve">Quotation Estimate</w:t>
      </w:r>
      <w:r>
        <w:t xml:space="preserve"> </w:t>
      </w:r>
      <w:r>
        <w:t xml:space="preserve">is issued by Studio Van der Berg Architecten B.V., a registered</w:t>
      </w:r>
      <w:r>
        <w:t xml:space="preserve"> </w:t>
      </w:r>
      <w:r>
        <w:t xml:space="preserve">Architect</w:t>
      </w:r>
      <w:r>
        <w:t xml:space="preserve"> </w:t>
      </w:r>
      <w:r>
        <w:t xml:space="preserve">practice operating in</w:t>
      </w:r>
      <w:r>
        <w:t xml:space="preserve"> </w:t>
      </w:r>
      <w:r>
        <w:t xml:space="preserve">Netherlands Amsterdam</w:t>
      </w:r>
      <w:r>
        <w:t xml:space="preserve">, in response to the client's request for comprehensive architectural design services for a residential renovation and extension project located at Keizersgracht 287, Amsterdam, The Netherlands. The</w:t>
      </w:r>
      <w:r>
        <w:t xml:space="preserve"> </w:t>
      </w:r>
      <w:r>
        <w:t xml:space="preserve">Architect</w:t>
      </w:r>
      <w:r>
        <w:t xml:space="preserve"> </w:t>
      </w:r>
      <w:r>
        <w:t xml:space="preserve">firm has assessed the site, reviewed the existing structural condition, and prepared this detailed</w:t>
      </w:r>
      <w:r>
        <w:t xml:space="preserve"> </w:t>
      </w:r>
      <w:r>
        <w:t xml:space="preserve">Quotation Estimate</w:t>
      </w:r>
      <w:r>
        <w:t xml:space="preserve"> </w:t>
      </w:r>
      <w:r>
        <w:t xml:space="preserve">to outline all professional services, associated costs, and project milestones. All work will be conducted in full compliance with the Dutch Building Act (Bouwbesluit 2012), the Amsterdam Municipal Building Regulations (Bouwverordening Amsterdam), and applicable European Union directives governing architectural practice in the</w:t>
      </w:r>
      <w:r>
        <w:t xml:space="preserve"> </w:t>
      </w:r>
      <w:r>
        <w:t xml:space="preserve">Netherlands Amsterdam</w:t>
      </w:r>
      <w:r>
        <w:t xml:space="preserve"> </w:t>
      </w:r>
      <w:r>
        <w:t xml:space="preserve">metropolitan area.</w:t>
      </w:r>
    </w:p>
    <w:bookmarkEnd w:id="23"/>
    <w:bookmarkStart w:id="24" w:name="scope-of-architect-services"/>
    <w:p>
      <w:pPr>
        <w:pStyle w:val="Heading2"/>
      </w:pPr>
      <w:r>
        <w:t xml:space="preserve">Scope of Architect Services</w:t>
      </w:r>
    </w:p>
    <w:p>
      <w:pPr>
        <w:pStyle w:val="FirstParagraph"/>
      </w:pPr>
      <w:r>
        <w:t xml:space="preserve">The</w:t>
      </w:r>
      <w:r>
        <w:t xml:space="preserve"> </w:t>
      </w:r>
      <w:r>
        <w:t xml:space="preserve">Architect</w:t>
      </w:r>
      <w:r>
        <w:t xml:space="preserve"> </w:t>
      </w:r>
      <w:r>
        <w:t xml:space="preserve">engagement encompasses the following phases of professional service, each contributing to the overall</w:t>
      </w:r>
      <w:r>
        <w:t xml:space="preserve"> </w:t>
      </w:r>
      <w:r>
        <w:t xml:space="preserve">Quotation Estimate</w:t>
      </w:r>
      <w:r>
        <w:t xml:space="preserve"> </w:t>
      </w:r>
      <w:r>
        <w:t xml:space="preserve">presented herein:</w:t>
      </w:r>
    </w:p>
    <w:p>
      <w:pPr>
        <w:numPr>
          <w:ilvl w:val="0"/>
          <w:numId w:val="1001"/>
        </w:numPr>
        <w:pStyle w:val="Compact"/>
      </w:pPr>
      <w:r>
        <w:rPr>
          <w:bCs/>
          <w:b/>
        </w:rPr>
        <w:t xml:space="preserve">Phase 1 – Feasibility Study &amp; Site Analysis:</w:t>
      </w:r>
      <w:r>
        <w:t xml:space="preserve"> </w:t>
      </w:r>
      <w:r>
        <w:t xml:space="preserve">The</w:t>
      </w:r>
      <w:r>
        <w:t xml:space="preserve"> </w:t>
      </w:r>
      <w:r>
        <w:t xml:space="preserve">Architect</w:t>
      </w:r>
      <w:r>
        <w:t xml:space="preserve"> </w:t>
      </w:r>
      <w:r>
        <w:t xml:space="preserve">will conduct a thorough assessment of the existing property in</w:t>
      </w:r>
      <w:r>
        <w:t xml:space="preserve"> </w:t>
      </w:r>
      <w:r>
        <w:t xml:space="preserve">Netherlands Amsterdam</w:t>
      </w:r>
      <w:r>
        <w:t xml:space="preserve">, including structural survey, soil condition review, heritage designation check (Rijksdienst voor het Cultureel Erfgoed), and zoning verification with the Amsterdam municipal planning department.</w:t>
      </w:r>
    </w:p>
    <w:p>
      <w:pPr>
        <w:numPr>
          <w:ilvl w:val="0"/>
          <w:numId w:val="1001"/>
        </w:numPr>
        <w:pStyle w:val="Compact"/>
      </w:pPr>
      <w:r>
        <w:rPr>
          <w:bCs/>
          <w:b/>
        </w:rPr>
        <w:t xml:space="preserve">Phase 2 – Concept Design:</w:t>
      </w:r>
      <w:r>
        <w:t xml:space="preserve"> </w:t>
      </w:r>
      <w:r>
        <w:t xml:space="preserve">Development of initial architectural concepts, massing studies, and spatial planning proposals. The</w:t>
      </w:r>
      <w:r>
        <w:t xml:space="preserve"> </w:t>
      </w:r>
      <w:r>
        <w:t xml:space="preserve">Architect</w:t>
      </w:r>
      <w:r>
        <w:t xml:space="preserve"> </w:t>
      </w:r>
      <w:r>
        <w:t xml:space="preserve">will present three distinct design options for client review and selection.</w:t>
      </w:r>
    </w:p>
    <w:p>
      <w:pPr>
        <w:numPr>
          <w:ilvl w:val="0"/>
          <w:numId w:val="1001"/>
        </w:numPr>
        <w:pStyle w:val="Compact"/>
      </w:pPr>
      <w:r>
        <w:rPr>
          <w:bCs/>
          <w:b/>
        </w:rPr>
        <w:t xml:space="preserve">Phase 3 – Detailed Design &amp; Technical Drawings:</w:t>
      </w:r>
      <w:r>
        <w:t xml:space="preserve"> </w:t>
      </w:r>
      <w:r>
        <w:t xml:space="preserve">Production of full construction drawings, structural coordination, MEP (mechanical, electrical, plumbing) integration, and material specifications in accordance with Dutch NEN standards.</w:t>
      </w:r>
    </w:p>
    <w:p>
      <w:pPr>
        <w:numPr>
          <w:ilvl w:val="0"/>
          <w:numId w:val="1001"/>
        </w:numPr>
        <w:pStyle w:val="Compact"/>
      </w:pPr>
      <w:r>
        <w:rPr>
          <w:bCs/>
          <w:b/>
        </w:rPr>
        <w:t xml:space="preserve">Phase 4 – Permit Application (Omgevingsvergunning):</w:t>
      </w:r>
      <w:r>
        <w:t xml:space="preserve"> </w:t>
      </w:r>
      <w:r>
        <w:t xml:space="preserve">The</w:t>
      </w:r>
      <w:r>
        <w:t xml:space="preserve"> </w:t>
      </w:r>
      <w:r>
        <w:t xml:space="preserve">Architect</w:t>
      </w:r>
      <w:r>
        <w:t xml:space="preserve"> </w:t>
      </w:r>
      <w:r>
        <w:t xml:space="preserve">will prepare and submit the complete building permit application to the Amsterdam municipality, including all required documentation, environmental impact assessments, and heritage impact statements specific to the protected canal district in</w:t>
      </w:r>
      <w:r>
        <w:t xml:space="preserve"> </w:t>
      </w:r>
      <w:r>
        <w:t xml:space="preserve">Netherlands Amsterdam</w:t>
      </w:r>
      <w:r>
        <w:t xml:space="preserve">.</w:t>
      </w:r>
    </w:p>
    <w:p>
      <w:pPr>
        <w:numPr>
          <w:ilvl w:val="0"/>
          <w:numId w:val="1001"/>
        </w:numPr>
        <w:pStyle w:val="Compact"/>
      </w:pPr>
      <w:r>
        <w:rPr>
          <w:bCs/>
          <w:b/>
        </w:rPr>
        <w:t xml:space="preserve">Phase 5 – Tender &amp; Contractor Coordination:</w:t>
      </w:r>
      <w:r>
        <w:t xml:space="preserve"> </w:t>
      </w:r>
      <w:r>
        <w:t xml:space="preserve">Assistance in preparing tender documents, evaluating contractor bids, and facilitating the selection of a main contractor for construction execution.</w:t>
      </w:r>
    </w:p>
    <w:p>
      <w:pPr>
        <w:numPr>
          <w:ilvl w:val="0"/>
          <w:numId w:val="1001"/>
        </w:numPr>
        <w:pStyle w:val="Compact"/>
      </w:pPr>
      <w:r>
        <w:rPr>
          <w:bCs/>
          <w:b/>
        </w:rPr>
        <w:t xml:space="preserve">Phase 6 – Construction Supervision (Bouwtoezicht):</w:t>
      </w:r>
      <w:r>
        <w:t xml:space="preserve"> </w:t>
      </w:r>
      <w:r>
        <w:t xml:space="preserve">The</w:t>
      </w:r>
      <w:r>
        <w:t xml:space="preserve"> </w:t>
      </w:r>
      <w:r>
        <w:t xml:space="preserve">Architect</w:t>
      </w:r>
      <w:r>
        <w:t xml:space="preserve"> </w:t>
      </w:r>
      <w:r>
        <w:t xml:space="preserve">will provide on-site supervision, quality control, and progress monitoring throughout the construction period to ensure compliance with the approved design and Dutch building regulations.</w:t>
      </w:r>
    </w:p>
    <w:bookmarkEnd w:id="24"/>
    <w:bookmarkStart w:id="25"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Feasibility Study &amp; Site Analysis (Architect)</w:t>
            </w:r>
          </w:p>
        </w:tc>
        <w:tc>
          <w:tcPr/>
          <w:p>
            <w:pPr>
              <w:pStyle w:val="Compact"/>
              <w:jc w:val="left"/>
            </w:pPr>
            <w:r>
              <w:t xml:space="preserve">3 weeks</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Concept Design Development (3 options)</w:t>
            </w:r>
          </w:p>
        </w:tc>
        <w:tc>
          <w:tcPr/>
          <w:p>
            <w:pPr>
              <w:pStyle w:val="Compact"/>
              <w:jc w:val="left"/>
            </w:pPr>
            <w:r>
              <w:t xml:space="preserve">6 weeks</w:t>
            </w:r>
          </w:p>
        </w:tc>
        <w:tc>
          <w:tcPr/>
          <w:p>
            <w:pPr>
              <w:pStyle w:val="Compact"/>
              <w:jc w:val="left"/>
            </w:pPr>
            <w:r>
              <w:t xml:space="preserve">165.00/hr</w:t>
            </w:r>
          </w:p>
        </w:tc>
        <w:tc>
          <w:tcPr/>
          <w:p>
            <w:pPr>
              <w:pStyle w:val="Compact"/>
              <w:jc w:val="left"/>
            </w:pPr>
            <w:r>
              <w:t xml:space="preserve">12,540.00</w:t>
            </w:r>
          </w:p>
        </w:tc>
      </w:tr>
      <w:tr>
        <w:tc>
          <w:tcPr/>
          <w:p>
            <w:pPr>
              <w:pStyle w:val="Compact"/>
              <w:jc w:val="left"/>
            </w:pPr>
            <w:r>
              <w:t xml:space="preserve">03</w:t>
            </w:r>
          </w:p>
        </w:tc>
        <w:tc>
          <w:tcPr/>
          <w:p>
            <w:pPr>
              <w:pStyle w:val="Compact"/>
              <w:jc w:val="left"/>
            </w:pPr>
            <w:r>
              <w:t xml:space="preserve">Detailed Design &amp; Technical Drawings</w:t>
            </w:r>
          </w:p>
        </w:tc>
        <w:tc>
          <w:tcPr/>
          <w:p>
            <w:pPr>
              <w:pStyle w:val="Compact"/>
              <w:jc w:val="left"/>
            </w:pPr>
            <w:r>
              <w:t xml:space="preserve">10 weeks</w:t>
            </w:r>
          </w:p>
        </w:tc>
        <w:tc>
          <w:tcPr/>
          <w:p>
            <w:pPr>
              <w:pStyle w:val="Compact"/>
              <w:jc w:val="left"/>
            </w:pPr>
            <w:r>
              <w:t xml:space="preserve">155.00/hr</w:t>
            </w:r>
          </w:p>
        </w:tc>
        <w:tc>
          <w:tcPr/>
          <w:p>
            <w:pPr>
              <w:pStyle w:val="Compact"/>
              <w:jc w:val="left"/>
            </w:pPr>
            <w:r>
              <w:t xml:space="preserve">24,800.00</w:t>
            </w:r>
          </w:p>
        </w:tc>
      </w:tr>
      <w:tr>
        <w:tc>
          <w:tcPr/>
          <w:p>
            <w:pPr>
              <w:pStyle w:val="Compact"/>
              <w:jc w:val="left"/>
            </w:pPr>
            <w:r>
              <w:t xml:space="preserve">04</w:t>
            </w:r>
          </w:p>
        </w:tc>
        <w:tc>
          <w:tcPr/>
          <w:p>
            <w:pPr>
              <w:pStyle w:val="Compact"/>
              <w:jc w:val="left"/>
            </w:pPr>
            <w:r>
              <w:t xml:space="preserve">Permit Application Preparation &amp; Submission</w:t>
            </w:r>
          </w:p>
        </w:tc>
        <w:tc>
          <w:tcPr/>
          <w:p>
            <w:pPr>
              <w:pStyle w:val="Compact"/>
              <w:jc w:val="left"/>
            </w:pPr>
            <w:r>
              <w:t xml:space="preserve">4 weeks</w:t>
            </w:r>
          </w:p>
        </w:tc>
        <w:tc>
          <w:tcPr/>
          <w:p>
            <w:pPr>
              <w:pStyle w:val="Compact"/>
              <w:jc w:val="left"/>
            </w:pPr>
            <w:r>
              <w:t xml:space="preserve">145.00/hr</w:t>
            </w:r>
          </w:p>
        </w:tc>
        <w:tc>
          <w:tcPr/>
          <w:p>
            <w:pPr>
              <w:pStyle w:val="Compact"/>
              <w:jc w:val="left"/>
            </w:pPr>
            <w:r>
              <w:t xml:space="preserve">9,280.00</w:t>
            </w:r>
          </w:p>
        </w:tc>
      </w:tr>
      <w:tr>
        <w:tc>
          <w:tcPr/>
          <w:p>
            <w:pPr>
              <w:pStyle w:val="Compact"/>
              <w:jc w:val="left"/>
            </w:pPr>
            <w:r>
              <w:t xml:space="preserve">05</w:t>
            </w:r>
          </w:p>
        </w:tc>
        <w:tc>
          <w:tcPr/>
          <w:p>
            <w:pPr>
              <w:pStyle w:val="Compact"/>
              <w:jc w:val="left"/>
            </w:pPr>
            <w:r>
              <w:t xml:space="preserve">Tender Documentation &amp; Contractor Coordination</w:t>
            </w:r>
          </w:p>
        </w:tc>
        <w:tc>
          <w:tcPr/>
          <w:p>
            <w:pPr>
              <w:pStyle w:val="Compact"/>
              <w:jc w:val="left"/>
            </w:pPr>
            <w:r>
              <w:t xml:space="preserve">3 weeks</w:t>
            </w:r>
          </w:p>
        </w:tc>
        <w:tc>
          <w:tcPr/>
          <w:p>
            <w:pPr>
              <w:pStyle w:val="Compact"/>
              <w:jc w:val="left"/>
            </w:pPr>
            <w:r>
              <w:t xml:space="preserve">145.00/hr</w:t>
            </w:r>
          </w:p>
        </w:tc>
        <w:tc>
          <w:tcPr/>
          <w:p>
            <w:pPr>
              <w:pStyle w:val="Compact"/>
              <w:jc w:val="left"/>
            </w:pPr>
            <w:r>
              <w:t xml:space="preserve">5,520.00</w:t>
            </w:r>
          </w:p>
        </w:tc>
      </w:tr>
      <w:tr>
        <w:tc>
          <w:tcPr/>
          <w:p>
            <w:pPr>
              <w:pStyle w:val="Compact"/>
              <w:jc w:val="left"/>
            </w:pPr>
            <w:r>
              <w:t xml:space="preserve">06</w:t>
            </w:r>
          </w:p>
        </w:tc>
        <w:tc>
          <w:tcPr/>
          <w:p>
            <w:pPr>
              <w:pStyle w:val="Compact"/>
              <w:jc w:val="left"/>
            </w:pPr>
            <w:r>
              <w:t xml:space="preserve">Construction Supervision (Bouwtoezicht)</w:t>
            </w:r>
          </w:p>
        </w:tc>
        <w:tc>
          <w:tcPr/>
          <w:p>
            <w:pPr>
              <w:pStyle w:val="Compact"/>
              <w:jc w:val="left"/>
            </w:pPr>
            <w:r>
              <w:t xml:space="preserve">26 weeks</w:t>
            </w:r>
          </w:p>
        </w:tc>
        <w:tc>
          <w:tcPr/>
          <w:p>
            <w:pPr>
              <w:pStyle w:val="Compact"/>
              <w:jc w:val="left"/>
            </w:pPr>
            <w:r>
              <w:t xml:space="preserve">135.00/hr</w:t>
            </w:r>
          </w:p>
        </w:tc>
        <w:tc>
          <w:tcPr/>
          <w:p>
            <w:pPr>
              <w:pStyle w:val="Compact"/>
              <w:jc w:val="left"/>
            </w:pPr>
            <w:r>
              <w:t xml:space="preserve">35,100.00</w:t>
            </w:r>
          </w:p>
        </w:tc>
      </w:tr>
      <w:tr>
        <w:tc>
          <w:tcPr/>
          <w:p>
            <w:pPr>
              <w:pStyle w:val="Compact"/>
              <w:jc w:val="left"/>
            </w:pPr>
            <w:r>
              <w:t xml:space="preserve">07</w:t>
            </w:r>
          </w:p>
        </w:tc>
        <w:tc>
          <w:tcPr/>
          <w:p>
            <w:pPr>
              <w:pStyle w:val="Compact"/>
              <w:jc w:val="left"/>
            </w:pPr>
            <w:r>
              <w:t xml:space="preserve">3D Visualisation &amp; VR Presentation Package</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Heritage Consultation &amp; Municipal Liaison</w:t>
            </w:r>
          </w:p>
        </w:tc>
        <w:tc>
          <w:tcPr/>
          <w:p>
            <w:pPr>
              <w:pStyle w:val="Compact"/>
              <w:jc w:val="left"/>
            </w:pPr>
            <w:r>
              <w:t xml:space="preserve">3 weeks</w:t>
            </w:r>
          </w:p>
        </w:tc>
        <w:tc>
          <w:tcPr/>
          <w:p>
            <w:pPr>
              <w:pStyle w:val="Compact"/>
              <w:jc w:val="left"/>
            </w:pPr>
            <w:r>
              <w:t xml:space="preserve">175.00/hr</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Project Management &amp; Client Communication</w:t>
            </w:r>
          </w:p>
        </w:tc>
        <w:tc>
          <w:tcPr/>
          <w:p>
            <w:pPr>
              <w:pStyle w:val="Compact"/>
              <w:jc w:val="left"/>
            </w:pPr>
            <w:r>
              <w:t xml:space="preserve">Full term</w:t>
            </w:r>
          </w:p>
        </w:tc>
        <w:tc>
          <w:tcPr/>
          <w:p>
            <w:pPr>
              <w:pStyle w:val="Compact"/>
              <w:jc w:val="left"/>
            </w:pPr>
            <w:r>
              <w:t xml:space="preserve">Flat fee</w:t>
            </w:r>
          </w:p>
        </w:tc>
        <w:tc>
          <w:tcPr/>
          <w:p>
            <w:pPr>
              <w:pStyle w:val="Compact"/>
              <w:jc w:val="left"/>
            </w:pPr>
            <w:r>
              <w:t xml:space="preserve">6,500.00</w:t>
            </w:r>
          </w:p>
        </w:tc>
      </w:tr>
      <w:tr>
        <w:tc>
          <w:tcPr/>
          <w:p>
            <w:pPr>
              <w:pStyle w:val="Compact"/>
              <w:jc w:val="left"/>
            </w:pPr>
            <w:r>
              <w:t xml:space="preserve">10</w:t>
            </w:r>
          </w:p>
        </w:tc>
        <w:tc>
          <w:tcPr/>
          <w:p>
            <w:pPr>
              <w:pStyle w:val="Compact"/>
              <w:jc w:val="left"/>
            </w:pPr>
            <w:r>
              <w:t xml:space="preserve">Travel &amp; Local Site Visits within Amsterdam</w:t>
            </w:r>
          </w:p>
        </w:tc>
        <w:tc>
          <w:tcPr/>
          <w:p>
            <w:pPr>
              <w:pStyle w:val="Compact"/>
              <w:jc w:val="left"/>
            </w:pPr>
            <w:r>
              <w:t xml:space="preserve">Full term</w:t>
            </w:r>
          </w:p>
        </w:tc>
        <w:tc>
          <w:tcPr/>
          <w:p>
            <w:pPr>
              <w:pStyle w:val="Compact"/>
              <w:jc w:val="left"/>
            </w:pPr>
            <w:r>
              <w:t xml:space="preserve">Flat fee</w:t>
            </w:r>
          </w:p>
        </w:tc>
        <w:tc>
          <w:tcPr/>
          <w:p>
            <w:pPr>
              <w:pStyle w:val="Compact"/>
              <w:jc w:val="left"/>
            </w:pPr>
            <w:r>
              <w:t xml:space="preserve">1,200.00</w:t>
            </w:r>
          </w:p>
        </w:tc>
      </w:tr>
      <w:tr>
        <w:tc>
          <w:tcPr>
            <w:gridSpan w:val="4"/>
          </w:tcPr>
          <w:p>
            <w:pPr>
              <w:pStyle w:val="Compact"/>
              <w:jc w:val="left"/>
            </w:pPr>
            <w:r>
              <w:t xml:space="preserve">Subtotal (Excluding BTW/VAT)</w:t>
            </w:r>
          </w:p>
        </w:tc>
        <w:tc>
          <w:tcPr/>
          <w:p>
            <w:pPr>
              <w:pStyle w:val="Compact"/>
              <w:jc w:val="left"/>
            </w:pPr>
            <w:r>
              <w:t xml:space="preserve">107,380.00</w:t>
            </w:r>
          </w:p>
        </w:tc>
      </w:tr>
      <w:tr>
        <w:tc>
          <w:tcPr>
            <w:gridSpan w:val="4"/>
          </w:tcPr>
          <w:p>
            <w:pPr>
              <w:pStyle w:val="Compact"/>
              <w:jc w:val="left"/>
            </w:pPr>
            <w:r>
              <w:t xml:space="preserve">BTW / VAT (21% – Netherlands Standard Rate)</w:t>
            </w:r>
          </w:p>
        </w:tc>
        <w:tc>
          <w:tcPr/>
          <w:p>
            <w:pPr>
              <w:pStyle w:val="Compact"/>
              <w:jc w:val="left"/>
            </w:pPr>
            <w:r>
              <w:t xml:space="preserve">22,549.80</w:t>
            </w:r>
          </w:p>
        </w:tc>
      </w:tr>
      <w:tr>
        <w:tc>
          <w:tcPr>
            <w:gridSpan w:val="4"/>
          </w:tcPr>
          <w:p>
            <w:pPr>
              <w:pStyle w:val="Compact"/>
              <w:jc w:val="left"/>
            </w:pPr>
            <w:r>
              <w:t xml:space="preserve">TOTAL QUOTATION ESTIMATE (Incl. BTW)</w:t>
            </w:r>
          </w:p>
        </w:tc>
        <w:tc>
          <w:tcPr/>
          <w:p>
            <w:pPr>
              <w:pStyle w:val="Compact"/>
              <w:jc w:val="left"/>
            </w:pPr>
            <w:r>
              <w:t xml:space="preserve">129,929.80</w:t>
            </w:r>
          </w:p>
        </w:tc>
      </w:tr>
    </w:tbl>
    <w:bookmarkEnd w:id="25"/>
    <w:bookmarkStart w:id="26" w:name="payment-schedule"/>
    <w:p>
      <w:pPr>
        <w:pStyle w:val="Heading2"/>
      </w:pPr>
      <w:r>
        <w:t xml:space="preserve">Payment Schedule</w:t>
      </w:r>
    </w:p>
    <w:p>
      <w:pPr>
        <w:pStyle w:val="FirstParagraph"/>
      </w:pPr>
      <w:r>
        <w:t xml:space="preserve">This</w:t>
      </w:r>
      <w:r>
        <w:t xml:space="preserve"> </w:t>
      </w:r>
      <w:r>
        <w:t xml:space="preserve">Quotation Estimate</w:t>
      </w:r>
      <w:r>
        <w:t xml:space="preserve"> </w:t>
      </w:r>
      <w:r>
        <w:t xml:space="preserve">stipulates the following payment milestones, payable within 30 days of invoice issuance by the</w:t>
      </w:r>
      <w:r>
        <w:t xml:space="preserve"> </w:t>
      </w:r>
      <w:r>
        <w:t xml:space="preserve">Architect</w:t>
      </w:r>
      <w:r>
        <w:t xml:space="preserve">:</w:t>
      </w:r>
    </w:p>
    <w:p>
      <w:pPr>
        <w:numPr>
          <w:ilvl w:val="0"/>
          <w:numId w:val="1002"/>
        </w:numPr>
        <w:pStyle w:val="Compact"/>
      </w:pPr>
      <w:r>
        <w:rPr>
          <w:bCs/>
          <w:b/>
        </w:rPr>
        <w:t xml:space="preserve">20%</w:t>
      </w:r>
      <w:r>
        <w:t xml:space="preserve"> </w:t>
      </w:r>
      <w:r>
        <w:t xml:space="preserve">upon acceptance of this</w:t>
      </w:r>
      <w:r>
        <w:t xml:space="preserve"> </w:t>
      </w:r>
      <w:r>
        <w:t xml:space="preserve">Quotation Estimate</w:t>
      </w:r>
      <w:r>
        <w:t xml:space="preserve"> </w:t>
      </w:r>
      <w:r>
        <w:t xml:space="preserve">and signing of the Architect's engagement contract.</w:t>
      </w:r>
    </w:p>
    <w:p>
      <w:pPr>
        <w:numPr>
          <w:ilvl w:val="0"/>
          <w:numId w:val="1002"/>
        </w:numPr>
        <w:pStyle w:val="Compact"/>
      </w:pPr>
      <w:r>
        <w:rPr>
          <w:bCs/>
          <w:b/>
        </w:rPr>
        <w:t xml:space="preserve">25%</w:t>
      </w:r>
      <w:r>
        <w:t xml:space="preserve"> </w:t>
      </w:r>
      <w:r>
        <w:t xml:space="preserve">upon completion and approval of the Concept Design phase.</w:t>
      </w:r>
    </w:p>
    <w:p>
      <w:pPr>
        <w:numPr>
          <w:ilvl w:val="0"/>
          <w:numId w:val="1002"/>
        </w:numPr>
        <w:pStyle w:val="Compact"/>
      </w:pPr>
      <w:r>
        <w:rPr>
          <w:bCs/>
          <w:b/>
        </w:rPr>
        <w:t xml:space="preserve">25%</w:t>
      </w:r>
      <w:r>
        <w:t xml:space="preserve"> </w:t>
      </w:r>
      <w:r>
        <w:t xml:space="preserve">upon submission of the building permit application to the Amsterdam municipality.</w:t>
      </w:r>
    </w:p>
    <w:p>
      <w:pPr>
        <w:numPr>
          <w:ilvl w:val="0"/>
          <w:numId w:val="1002"/>
        </w:numPr>
        <w:pStyle w:val="Compact"/>
      </w:pPr>
      <w:r>
        <w:rPr>
          <w:bCs/>
          <w:b/>
        </w:rPr>
        <w:t xml:space="preserve">20%</w:t>
      </w:r>
      <w:r>
        <w:t xml:space="preserve"> </w:t>
      </w:r>
      <w:r>
        <w:t xml:space="preserve">upon commencement of construction works on site.</w:t>
      </w:r>
    </w:p>
    <w:p>
      <w:pPr>
        <w:numPr>
          <w:ilvl w:val="0"/>
          <w:numId w:val="1002"/>
        </w:numPr>
        <w:pStyle w:val="Compact"/>
      </w:pPr>
      <w:r>
        <w:rPr>
          <w:bCs/>
          <w:b/>
        </w:rPr>
        <w:t xml:space="preserve">10%</w:t>
      </w:r>
      <w:r>
        <w:t xml:space="preserve"> </w:t>
      </w:r>
      <w:r>
        <w:t xml:space="preserve">upon final handover, completion of as-built drawings, and issuance of the completion certificate (gebruiksklaarverklaring).</w:t>
      </w:r>
    </w:p>
    <w:bookmarkEnd w:id="26"/>
    <w:bookmarkStart w:id="27" w:name="terms-and-conditions"/>
    <w:p>
      <w:pPr>
        <w:pStyle w:val="Heading2"/>
      </w:pPr>
      <w:r>
        <w:t xml:space="preserve">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sixty (60) calendar days from the date of issue. After this period, the</w:t>
      </w:r>
      <w:r>
        <w:t xml:space="preserve"> </w:t>
      </w:r>
      <w:r>
        <w:t xml:space="preserve">Architect</w:t>
      </w:r>
      <w:r>
        <w:t xml:space="preserve"> </w:t>
      </w:r>
      <w:r>
        <w:t xml:space="preserve">reserves the right to revise rates due to market fluctuations in the</w:t>
      </w:r>
      <w:r>
        <w:t xml:space="preserve"> </w:t>
      </w:r>
      <w:r>
        <w:t xml:space="preserve">Netherlands Amsterdam</w:t>
      </w:r>
      <w:r>
        <w:t xml:space="preserve"> </w:t>
      </w:r>
      <w:r>
        <w:t xml:space="preserve">construction sector.</w:t>
      </w:r>
    </w:p>
    <w:p>
      <w:pPr>
        <w:numPr>
          <w:ilvl w:val="0"/>
          <w:numId w:val="1003"/>
        </w:numPr>
        <w:pStyle w:val="Compact"/>
      </w:pPr>
      <w:r>
        <w:t xml:space="preserve">All services rendered by the</w:t>
      </w:r>
      <w:r>
        <w:t xml:space="preserve"> </w:t>
      </w:r>
      <w:r>
        <w:t xml:space="preserve">Architect</w:t>
      </w:r>
      <w:r>
        <w:t xml:space="preserve"> </w:t>
      </w:r>
      <w:r>
        <w:t xml:space="preserve">are governed by the Dutch Civil Code (Burgerlijk Wetboek) Book 7, Section 9 (Aanneming van werk) and the SRA (Stichting Regeling Architecten) standard terms of engagement.</w:t>
      </w:r>
    </w:p>
    <w:p>
      <w:pPr>
        <w:numPr>
          <w:ilvl w:val="0"/>
          <w:numId w:val="1003"/>
        </w:numPr>
        <w:pStyle w:val="Compact"/>
      </w:pPr>
      <w:r>
        <w:t xml:space="preserve">The</w:t>
      </w:r>
      <w:r>
        <w:t xml:space="preserve"> </w:t>
      </w:r>
      <w:r>
        <w:t xml:space="preserve">Architect</w:t>
      </w:r>
      <w:r>
        <w:t xml:space="preserve"> </w:t>
      </w:r>
      <w:r>
        <w:t xml:space="preserve">shall carry out all professional services with due diligence, in accordance with the standards of practice established by the Royal Dutch Association of Architects (RAI) and the professional code of conduct applicable in the</w:t>
      </w:r>
      <w:r>
        <w:t xml:space="preserve"> </w:t>
      </w:r>
      <w:r>
        <w:t xml:space="preserve">Netherlands Amsterdam</w:t>
      </w:r>
      <w:r>
        <w:t xml:space="preserve"> </w:t>
      </w:r>
      <w:r>
        <w:t xml:space="preserve">region.</w:t>
      </w:r>
    </w:p>
    <w:p>
      <w:pPr>
        <w:numPr>
          <w:ilvl w:val="0"/>
          <w:numId w:val="1003"/>
        </w:numPr>
        <w:pStyle w:val="Compact"/>
      </w:pPr>
      <w:r>
        <w:t xml:space="preserve">Any changes to the scope of work beyond the parameters described in this</w:t>
      </w:r>
      <w:r>
        <w:t xml:space="preserve"> </w:t>
      </w:r>
      <w:r>
        <w:t xml:space="preserve">Quotation Estimate</w:t>
      </w:r>
      <w:r>
        <w:t xml:space="preserve"> </w:t>
      </w:r>
      <w:r>
        <w:t xml:space="preserve">will be subject to a supplementary</w:t>
      </w:r>
      <w:r>
        <w:t xml:space="preserve"> </w:t>
      </w:r>
      <w:r>
        <w:t xml:space="preserve">Quotation Estimate</w:t>
      </w:r>
      <w:r>
        <w:t xml:space="preserve"> </w:t>
      </w:r>
      <w:r>
        <w:t xml:space="preserve">and written client approval prior to execution.</w:t>
      </w:r>
    </w:p>
    <w:p>
      <w:pPr>
        <w:numPr>
          <w:ilvl w:val="0"/>
          <w:numId w:val="1003"/>
        </w:numPr>
        <w:pStyle w:val="Compact"/>
      </w:pPr>
      <w:r>
        <w:t xml:space="preserve">The</w:t>
      </w:r>
      <w:r>
        <w:t xml:space="preserve"> </w:t>
      </w:r>
      <w:r>
        <w:t xml:space="preserve">Architect</w:t>
      </w:r>
      <w:r>
        <w:t xml:space="preserve"> </w:t>
      </w:r>
      <w:r>
        <w:t xml:space="preserve">maintains professional indemnity insurance with a minimum coverage of EUR 2,500,000 per claim, as required for registered architectural practices in the Netherlands.</w:t>
      </w:r>
    </w:p>
    <w:p>
      <w:pPr>
        <w:numPr>
          <w:ilvl w:val="0"/>
          <w:numId w:val="1003"/>
        </w:numPr>
        <w:pStyle w:val="Compact"/>
      </w:pPr>
      <w:r>
        <w:t xml:space="preserve">All intellectual property rights in design documents, drawings, and 3D models produced by the</w:t>
      </w:r>
      <w:r>
        <w:t xml:space="preserve"> </w:t>
      </w:r>
      <w:r>
        <w:t xml:space="preserve">Architect</w:t>
      </w:r>
      <w:r>
        <w:t xml:space="preserve"> </w:t>
      </w:r>
      <w:r>
        <w:t xml:space="preserve">remain with Studio Van der Berg Architecten B.V. until full payment of the total</w:t>
      </w:r>
      <w:r>
        <w:t xml:space="preserve"> </w:t>
      </w:r>
      <w:r>
        <w:t xml:space="preserve">Quotation Estimate</w:t>
      </w:r>
      <w:r>
        <w:t xml:space="preserve"> </w:t>
      </w:r>
      <w:r>
        <w:t xml:space="preserve">amount has been received.</w:t>
      </w:r>
    </w:p>
    <w:p>
      <w:pPr>
        <w:numPr>
          <w:ilvl w:val="0"/>
          <w:numId w:val="1003"/>
        </w:numPr>
        <w:pStyle w:val="Compact"/>
      </w:pPr>
      <w:r>
        <w:t xml:space="preserve">Disputes arising from this engagement shall be resolved through mediation in accordance with the SRA mediation procedure, with jurisdiction vested in the District Court of Amsterdam, The Netherlands.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countersigned by both parties and accompanied by the execution of the formal Architect's engagement agreement.</w:t>
      </w:r>
    </w:p>
    <w:bookmarkEnd w:id="27"/>
    <w:bookmarkStart w:id="28" w:name="acceptance-and-signatures"/>
    <w:p>
      <w:pPr>
        <w:pStyle w:val="Heading2"/>
      </w:pPr>
      <w:r>
        <w:t xml:space="preserve">Acceptance and Signatures</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Netherlands Amsterdam</w:t>
      </w:r>
      <w:r>
        <w:t xml:space="preserve"> </w:t>
      </w:r>
      <w:r>
        <w:t xml:space="preserve">has been reviewed, understood, and accepted in its entirety.</w:t>
      </w:r>
    </w:p>
    <w:p>
      <w:pPr>
        <w:pStyle w:val="BodyText"/>
      </w:pPr>
      <w:r>
        <w:rPr>
          <w:bCs/>
          <w:b/>
        </w:rPr>
        <w:t xml:space="preserve">For and on behalf of the Architect:</w:t>
      </w:r>
    </w:p>
    <w:p>
      <w:pPr>
        <w:pStyle w:val="BodyText"/>
      </w:pPr>
      <w:r>
        <w:t xml:space="preserve">Studio Van der Berg Architecten B.V.</w:t>
      </w:r>
    </w:p>
    <w:p>
      <w:pPr>
        <w:pStyle w:val="BodyText"/>
      </w:pPr>
      <w:r>
        <w:t xml:space="preserve">Name: Ir. M. van der Berg, RAI</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Mr. J. de Vries</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Studio Van der Berg Architecten B.V. | Herengracht 412, 1017 BX Amsterdam, The Netherlands</w:t>
      </w:r>
    </w:p>
    <w:p>
      <w:pPr>
        <w:pStyle w:val="BodyText"/>
      </w:pPr>
      <w:r>
        <w:t xml:space="preserve">Quotation Estimate Ref: QTE-AMS-2025-04782 | This document is generated electronically and is valid without a physical stamp.</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Netherlands Amsterdam</dc:title>
  <dc:creator/>
  <dc:language>en</dc:language>
  <cp:keywords/>
  <dcterms:created xsi:type="dcterms:W3CDTF">2026-10-10T03:41:36Z</dcterms:created>
  <dcterms:modified xsi:type="dcterms:W3CDTF">2026-10-10T03:41:36Z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