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Architect Services — Peru Lima</w:t>
      </w:r>
    </w:p>
    <w:p>
      <w:pPr>
        <w:pStyle w:val="BodyText"/>
      </w:pPr>
      <w:r>
        <w:t xml:space="preserve">Document Reference: QE-ARQ-LIM-2025-0472</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Prepared By</w:t>
            </w:r>
          </w:p>
        </w:tc>
        <w:tc>
          <w:tcPr/>
          <w:p>
            <w:pPr>
              <w:pStyle w:val="Compact"/>
              <w:jc w:val="left"/>
            </w:pPr>
            <w:r>
              <w:t xml:space="preserve">Estudio Arquitectónico Andino S.A.C.</w:t>
            </w:r>
            <w:r>
              <w:br/>
            </w:r>
            <w:r>
              <w:t xml:space="preserve">Lima, Peru</w:t>
            </w:r>
          </w:p>
        </w:tc>
        <w:tc>
          <w:tcPr/>
          <w:p>
            <w:pPr>
              <w:pStyle w:val="Compact"/>
              <w:jc w:val="left"/>
            </w:pPr>
            <w:r>
              <w:t xml:space="preserve">Architect in Charge</w:t>
            </w:r>
          </w:p>
        </w:tc>
        <w:tc>
          <w:tcPr/>
          <w:p>
            <w:pPr>
              <w:pStyle w:val="Compact"/>
              <w:jc w:val="left"/>
            </w:pPr>
            <w:r>
              <w:t xml:space="preserve">Ing. Arq. Ricardo Mendoza Salazar</w:t>
            </w:r>
            <w:r>
              <w:br/>
            </w:r>
            <w:r>
              <w:t xml:space="preserve">Col. Reg. Nº 18472 (Colegio de Arquitectos del Perú)</w:t>
            </w:r>
          </w:p>
        </w:tc>
      </w:tr>
      <w:tr>
        <w:tc>
          <w:tcPr/>
          <w:p>
            <w:pPr>
              <w:pStyle w:val="Compact"/>
              <w:jc w:val="left"/>
            </w:pPr>
            <w:r>
              <w:t xml:space="preserve">Client Name</w:t>
            </w:r>
          </w:p>
        </w:tc>
        <w:tc>
          <w:tcPr/>
          <w:p>
            <w:pPr>
              <w:pStyle w:val="Compact"/>
              <w:jc w:val="left"/>
            </w:pPr>
            <w:r>
              <w:t xml:space="preserve">Señor/a [Client Full Name]</w:t>
            </w:r>
          </w:p>
        </w:tc>
        <w:tc>
          <w:tcPr/>
          <w:p>
            <w:pPr>
              <w:pStyle w:val="Compact"/>
              <w:jc w:val="left"/>
            </w:pPr>
            <w:r>
              <w:t xml:space="preserve">Client RUC / DNI</w:t>
            </w:r>
          </w:p>
        </w:tc>
        <w:tc>
          <w:tcPr/>
          <w:p>
            <w:pPr>
              <w:pStyle w:val="Compact"/>
              <w:jc w:val="left"/>
            </w:pPr>
            <w:r>
              <w:t xml:space="preserve">[Tax Identification Number]</w:t>
            </w:r>
          </w:p>
        </w:tc>
      </w:tr>
      <w:tr>
        <w:tc>
          <w:tcPr/>
          <w:p>
            <w:pPr>
              <w:pStyle w:val="Compact"/>
              <w:jc w:val="left"/>
            </w:pPr>
            <w:r>
              <w:t xml:space="preserve">Project Location</w:t>
            </w:r>
          </w:p>
        </w:tc>
        <w:tc>
          <w:tcPr>
            <w:gridSpan w:val="3"/>
          </w:tcPr>
          <w:p>
            <w:pPr>
              <w:pStyle w:val="Compact"/>
              <w:jc w:val="left"/>
            </w:pPr>
            <w:r>
              <w:t xml:space="preserve">District of Miraflores, Lima Metropolitan Region, Peru</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Estudio Arquitectónico Andino S.A.C., a registered</w:t>
      </w:r>
      <w:r>
        <w:t xml:space="preserve"> </w:t>
      </w:r>
      <w:r>
        <w:t xml:space="preserve">Architect</w:t>
      </w:r>
      <w:r>
        <w:t xml:space="preserve"> </w:t>
      </w:r>
      <w:r>
        <w:t xml:space="preserve">firm operating under the regulatory framework of the Colegio de Arquitectos del Perú, to provide a comprehensive and itemized cost breakdown for professional architectural design, planning, and consulting services. This document is specifically tailored for a residential and commercial mixed-use development project located in the city of</w:t>
      </w:r>
      <w:r>
        <w:t xml:space="preserve"> </w:t>
      </w:r>
      <w:r>
        <w:t xml:space="preserve">Peru Lima</w:t>
      </w:r>
      <w:r>
        <w:t xml:space="preserve">, and it serves as the binding financial proposal upon which the client may base their investment decision. All pricing within this</w:t>
      </w:r>
      <w:r>
        <w:t xml:space="preserve"> </w:t>
      </w:r>
      <w:r>
        <w:t xml:space="preserve">Quotation Estimate</w:t>
      </w:r>
      <w:r>
        <w:t xml:space="preserve"> </w:t>
      </w:r>
      <w:r>
        <w:t xml:space="preserve">reflects current market rates for</w:t>
      </w:r>
      <w:r>
        <w:t xml:space="preserve"> </w:t>
      </w:r>
      <w:r>
        <w:t xml:space="preserve">Architect</w:t>
      </w:r>
      <w:r>
        <w:t xml:space="preserve"> </w:t>
      </w:r>
      <w:r>
        <w:t xml:space="preserve">professional services in the Lima metropolitan area as of the second quarter of 2025.</w:t>
      </w:r>
    </w:p>
    <w:bookmarkEnd w:id="21"/>
    <w:bookmarkStart w:id="22" w:name="scope-of-architect-services"/>
    <w:p>
      <w:pPr>
        <w:pStyle w:val="Heading2"/>
      </w:pPr>
      <w:r>
        <w:t xml:space="preserve">2. Scope of Architect Services</w:t>
      </w:r>
    </w:p>
    <w:p>
      <w:pPr>
        <w:pStyle w:val="FirstParagraph"/>
      </w:pPr>
      <w:r>
        <w:t xml:space="preserve">The</w:t>
      </w:r>
      <w:r>
        <w:t xml:space="preserve"> </w:t>
      </w:r>
      <w:r>
        <w:t xml:space="preserve">Architect</w:t>
      </w:r>
      <w:r>
        <w:t xml:space="preserve"> </w:t>
      </w:r>
      <w:r>
        <w:t xml:space="preserve">firm shall deliver the following professional services in accordance with the Peruvian Building Code (Reglamento Nacional de Edificaciones – RNE), the municipal zoning regulations of the Lima Metropolitan Government (Municipalidad Metropolitana de Lima), and all applicable national and local building permits requirements: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Nº</w:t>
            </w:r>
          </w:p>
        </w:tc>
        <w:tc>
          <w:tcPr/>
          <w:p>
            <w:pPr>
              <w:pStyle w:val="Compact"/>
              <w:jc w:val="left"/>
            </w:pPr>
            <w:r>
              <w:t xml:space="preserve">Description of Architect Service</w:t>
            </w:r>
          </w:p>
        </w:tc>
        <w:tc>
          <w:tcPr/>
          <w:p>
            <w:pPr>
              <w:pStyle w:val="Compact"/>
              <w:jc w:val="left"/>
            </w:pPr>
            <w:r>
              <w:t xml:space="preserve">Deliverable</w:t>
            </w:r>
          </w:p>
        </w:tc>
        <w:tc>
          <w:tcPr/>
          <w:p>
            <w:pPr>
              <w:pStyle w:val="Compact"/>
              <w:jc w:val="left"/>
            </w:pPr>
            <w:r>
              <w:t xml:space="preserve">Estimated Duration</w:t>
            </w:r>
          </w:p>
        </w:tc>
        <w:tc>
          <w:tcPr/>
          <w:p>
            <w:pPr>
              <w:pStyle w:val="Compact"/>
              <w:jc w:val="left"/>
            </w:pPr>
            <w:r>
              <w:t xml:space="preserve">Cost (USD)</w:t>
            </w:r>
          </w:p>
        </w:tc>
      </w:tr>
      <w:tr>
        <w:tc>
          <w:tcPr/>
          <w:p>
            <w:pPr>
              <w:pStyle w:val="Compact"/>
              <w:jc w:val="left"/>
            </w:pPr>
            <w:r>
              <w:t xml:space="preserve">01</w:t>
            </w:r>
          </w:p>
        </w:tc>
        <w:tc>
          <w:tcPr/>
          <w:p>
            <w:pPr>
              <w:pStyle w:val="Compact"/>
              <w:jc w:val="left"/>
            </w:pPr>
            <w:r>
              <w:t xml:space="preserve">Site survey, topographic analysis, and feasibility study for the plot located in Miraflores, Peru Lima</w:t>
            </w:r>
          </w:p>
        </w:tc>
        <w:tc>
          <w:tcPr/>
          <w:p>
            <w:pPr>
              <w:pStyle w:val="Compact"/>
              <w:jc w:val="left"/>
            </w:pPr>
            <w:r>
              <w:t xml:space="preserve">Technical Report</w:t>
            </w:r>
          </w:p>
        </w:tc>
        <w:tc>
          <w:tcPr/>
          <w:p>
            <w:pPr>
              <w:pStyle w:val="Compact"/>
              <w:jc w:val="left"/>
            </w:pPr>
            <w:r>
              <w:t xml:space="preserve">15 working days</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Conceptual design and preliminary architectural drawings (floor plans, elevations, sections) compliant with Lima municipal norms</w:t>
            </w:r>
          </w:p>
        </w:tc>
        <w:tc>
          <w:tcPr/>
          <w:p>
            <w:pPr>
              <w:pStyle w:val="Compact"/>
              <w:jc w:val="left"/>
            </w:pPr>
            <w:r>
              <w:t xml:space="preserve">Design Package (PDF + CAD)</w:t>
            </w:r>
          </w:p>
        </w:tc>
        <w:tc>
          <w:tcPr/>
          <w:p>
            <w:pPr>
              <w:pStyle w:val="Compact"/>
              <w:jc w:val="left"/>
            </w:pPr>
            <w:r>
              <w:t xml:space="preserve">30 working days</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Detailed architectural design including structural coordination, MEP integration, and material specifications</w:t>
            </w:r>
          </w:p>
        </w:tc>
        <w:tc>
          <w:tcPr/>
          <w:p>
            <w:pPr>
              <w:pStyle w:val="Compact"/>
              <w:jc w:val="left"/>
            </w:pPr>
            <w:r>
              <w:t xml:space="preserve">Full Drawing Set</w:t>
            </w:r>
          </w:p>
        </w:tc>
        <w:tc>
          <w:tcPr/>
          <w:p>
            <w:pPr>
              <w:pStyle w:val="Compact"/>
              <w:jc w:val="left"/>
            </w:pPr>
            <w:r>
              <w:t xml:space="preserve">45 working days</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Preparation and submission of building permit documentation (Licencia de Construcción) before the Lima Metropolitan Municipality</w:t>
            </w:r>
          </w:p>
        </w:tc>
        <w:tc>
          <w:tcPr/>
          <w:p>
            <w:pPr>
              <w:pStyle w:val="Compact"/>
              <w:jc w:val="left"/>
            </w:pPr>
            <w:r>
              <w:t xml:space="preserve">Permit Application File</w:t>
            </w:r>
          </w:p>
        </w:tc>
        <w:tc>
          <w:tcPr/>
          <w:p>
            <w:pPr>
              <w:pStyle w:val="Compact"/>
              <w:jc w:val="left"/>
            </w:pPr>
            <w:r>
              <w:t xml:space="preserve">20 working days</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Construction supervision and on-site architectural control (monthly visits, progress reports, quality assurance)</w:t>
            </w:r>
          </w:p>
        </w:tc>
        <w:tc>
          <w:tcPr/>
          <w:p>
            <w:pPr>
              <w:pStyle w:val="Compact"/>
              <w:jc w:val="left"/>
            </w:pPr>
            <w:r>
              <w:t xml:space="preserve">Monthly Reports</w:t>
            </w:r>
          </w:p>
        </w:tc>
        <w:tc>
          <w:tcPr/>
          <w:p>
            <w:pPr>
              <w:pStyle w:val="Compact"/>
              <w:jc w:val="left"/>
            </w:pPr>
            <w:r>
              <w:t xml:space="preserve">12 months</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Final as-built documentation, occupancy certificate support, and handover to the client</w:t>
            </w:r>
          </w:p>
        </w:tc>
        <w:tc>
          <w:tcPr/>
          <w:p>
            <w:pPr>
              <w:pStyle w:val="Compact"/>
              <w:jc w:val="left"/>
            </w:pPr>
            <w:r>
              <w:t xml:space="preserve">As-Built Set + Certificate</w:t>
            </w:r>
          </w:p>
        </w:tc>
        <w:tc>
          <w:tcPr/>
          <w:p>
            <w:pPr>
              <w:pStyle w:val="Compact"/>
              <w:jc w:val="left"/>
            </w:pPr>
            <w:r>
              <w:t xml:space="preserve">10 working days</w:t>
            </w:r>
          </w:p>
        </w:tc>
        <w:tc>
          <w:tcPr/>
          <w:p>
            <w:pPr>
              <w:pStyle w:val="Compact"/>
              <w:jc w:val="left"/>
            </w:pPr>
            <w:r>
              <w:t xml:space="preserve">$2,750.00</w:t>
            </w:r>
          </w:p>
        </w:tc>
      </w:tr>
      <w:tr>
        <w:tc>
          <w:tcPr/>
          <w:p>
            <w:pPr>
              <w:pStyle w:val="Compact"/>
              <w:jc w:val="left"/>
            </w:pPr>
            <w:r>
              <w:t xml:space="preserve">07</w:t>
            </w:r>
          </w:p>
        </w:tc>
        <w:tc>
          <w:tcPr/>
          <w:p>
            <w:pPr>
              <w:pStyle w:val="Compact"/>
              <w:jc w:val="left"/>
            </w:pPr>
            <w:r>
              <w:t xml:space="preserve">Interior design consultation and landscape architecture integration for the Peru Lima property</w:t>
            </w:r>
          </w:p>
        </w:tc>
        <w:tc>
          <w:tcPr/>
          <w:p>
            <w:pPr>
              <w:pStyle w:val="Compact"/>
              <w:jc w:val="left"/>
            </w:pPr>
            <w:r>
              <w:t xml:space="preserve">Interior &amp; Landscape Package</w:t>
            </w:r>
          </w:p>
        </w:tc>
        <w:tc>
          <w:tcPr/>
          <w:p>
            <w:pPr>
              <w:pStyle w:val="Compact"/>
              <w:jc w:val="left"/>
            </w:pPr>
            <w:r>
              <w:t xml:space="preserve">25 working days</w:t>
            </w:r>
          </w:p>
        </w:tc>
        <w:tc>
          <w:tcPr/>
          <w:p>
            <w:pPr>
              <w:pStyle w:val="Compact"/>
              <w:jc w:val="left"/>
            </w:pPr>
            <w:r>
              <w:t xml:space="preserve">$6,500.00</w:t>
            </w:r>
          </w:p>
        </w:tc>
      </w:tr>
      <w:tr>
        <w:tc>
          <w:tcPr>
            <w:gridSpan w:val="4"/>
          </w:tcPr>
          <w:p>
            <w:pPr>
              <w:pStyle w:val="Compact"/>
              <w:jc w:val="left"/>
            </w:pPr>
            <w:r>
              <w:t xml:space="preserve">TOTAL ESTIMATED COST (before IGV 18%)</w:t>
            </w:r>
          </w:p>
        </w:tc>
        <w:tc>
          <w:tcPr/>
          <w:p>
            <w:pPr>
              <w:pStyle w:val="Compact"/>
              <w:jc w:val="left"/>
            </w:pPr>
            <w:r>
              <w:t xml:space="preserve">$72,500.00</w:t>
            </w:r>
          </w:p>
        </w:tc>
      </w:tr>
      <w:tr>
        <w:tc>
          <w:tcPr>
            <w:gridSpan w:val="4"/>
          </w:tcPr>
          <w:p>
            <w:pPr>
              <w:pStyle w:val="Compact"/>
              <w:jc w:val="left"/>
            </w:pPr>
            <w:r>
              <w:t xml:space="preserve">IGV (Impuesto General a las Ventas) — 18%</w:t>
            </w:r>
          </w:p>
        </w:tc>
        <w:tc>
          <w:tcPr/>
          <w:p>
            <w:pPr>
              <w:pStyle w:val="Compact"/>
              <w:jc w:val="left"/>
            </w:pPr>
            <w:r>
              <w:t xml:space="preserve">$13,050.00</w:t>
            </w:r>
          </w:p>
        </w:tc>
      </w:tr>
      <w:tr>
        <w:tc>
          <w:tcPr>
            <w:gridSpan w:val="4"/>
          </w:tcPr>
          <w:p>
            <w:pPr>
              <w:pStyle w:val="Compact"/>
              <w:jc w:val="left"/>
            </w:pPr>
            <w:r>
              <w:t xml:space="preserve">GRAND TOTAL (USD)</w:t>
            </w:r>
          </w:p>
        </w:tc>
        <w:tc>
          <w:tcPr/>
          <w:p>
            <w:pPr>
              <w:pStyle w:val="Compact"/>
              <w:jc w:val="left"/>
            </w:pPr>
            <w:r>
              <w:t xml:space="preserve">$85,550.00</w:t>
            </w:r>
          </w:p>
        </w:tc>
      </w:tr>
    </w:tbl>
    <w:bookmarkEnd w:id="22"/>
    <w:bookmarkStart w:id="23"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Peru Lima</w:t>
      </w:r>
      <w:r>
        <w:t xml:space="preserve"> </w:t>
      </w:r>
      <w:r>
        <w:t xml:space="preserve">shall be settled according to the following milestone-based payment schedule:</w:t>
      </w:r>
    </w:p>
    <w:p>
      <w:pPr>
        <w:pStyle w:val="BodyText"/>
      </w:pPr>
      <w:r>
        <w:rPr>
          <w:bCs/>
          <w:b/>
        </w:rPr>
        <w:t xml:space="preserve">30%</w:t>
      </w:r>
      <w:r>
        <w:t xml:space="preserve"> </w:t>
      </w:r>
      <w:r>
        <w:t xml:space="preserve">upon signing of the professional services contract and receipt of the initial deposit.</w:t>
      </w:r>
      <w:r>
        <w:br/>
      </w:r>
      <w:r>
        <w:rPr>
          <w:bCs/>
          <w:b/>
        </w:rPr>
        <w:t xml:space="preserve">25%</w:t>
      </w:r>
      <w:r>
        <w:t xml:space="preserve"> </w:t>
      </w:r>
      <w:r>
        <w:t xml:space="preserve">upon approval of the detailed architectural design package.</w:t>
      </w:r>
      <w:r>
        <w:br/>
      </w:r>
      <w:r>
        <w:rPr>
          <w:bCs/>
          <w:b/>
        </w:rPr>
        <w:t xml:space="preserve">25%</w:t>
      </w:r>
      <w:r>
        <w:t xml:space="preserve"> </w:t>
      </w:r>
      <w:r>
        <w:t xml:space="preserve">upon issuance of the building permit by the Lima Metropolitan Municipality.</w:t>
      </w:r>
      <w:r>
        <w:br/>
      </w:r>
      <w:r>
        <w:rPr>
          <w:bCs/>
          <w:b/>
        </w:rPr>
        <w:t xml:space="preserve">20%</w:t>
      </w:r>
      <w:r>
        <w:t xml:space="preserve"> </w:t>
      </w:r>
      <w:r>
        <w:t xml:space="preserve">upon completion of construction supervision and delivery of as-built documentation.</w:t>
      </w:r>
    </w:p>
    <w:p>
      <w:pPr>
        <w:pStyle w:val="BodyText"/>
      </w:pPr>
      <w:r>
        <w:t xml:space="preserve">All payments shall be made in U.S. Dollars (USD) or its equivalent in Peruvian Soles (PEN) at the BCRA reference rate on the date of invoicing, via bank transfer to the firm’s account at Banco de Crédito del Perú, Lima branch.</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Architect</w:t>
      </w:r>
      <w:r>
        <w:t xml:space="preserve"> </w:t>
      </w:r>
      <w:r>
        <w:t xml:space="preserve">firm reserves the right to revise pricing due to market fluctuations, material cost changes, or regulatory updates in</w:t>
      </w:r>
      <w:r>
        <w:t xml:space="preserve"> </w:t>
      </w:r>
      <w:r>
        <w:t xml:space="preserve">Peru Lima</w:t>
      </w:r>
      <w:r>
        <w:t xml:space="preserve">.</w:t>
      </w:r>
    </w:p>
    <w:p>
      <w:pPr>
        <w:pStyle w:val="BodyText"/>
      </w:pPr>
      <w:r>
        <w:rPr>
          <w:bCs/>
          <w:b/>
        </w:rPr>
        <w:t xml:space="preserve">4.2</w:t>
      </w:r>
      <w:r>
        <w:t xml:space="preserve"> </w:t>
      </w:r>
      <w:r>
        <w:t xml:space="preserve">The</w:t>
      </w:r>
      <w:r>
        <w:t xml:space="preserve"> </w:t>
      </w:r>
      <w:r>
        <w:t xml:space="preserve">Architect</w:t>
      </w:r>
      <w:r>
        <w:t xml:space="preserve"> </w:t>
      </w:r>
      <w:r>
        <w:t xml:space="preserve">shall comply with all ethical and professional standards established by the Colegio de Arquitectos del Perú and the Peruvian Ministry of Housing, Construction and Sanitation (MINVU).</w:t>
      </w:r>
    </w:p>
    <w:p>
      <w:pPr>
        <w:pStyle w:val="BodyText"/>
      </w:pPr>
      <w:r>
        <w:rPr>
          <w:bCs/>
          <w:b/>
        </w:rPr>
        <w:t xml:space="preserve">4.3</w:t>
      </w:r>
      <w:r>
        <w:t xml:space="preserve"> </w:t>
      </w:r>
      <w:r>
        <w:t xml:space="preserve">Any design revisions requested by the client beyond the scope defined in this</w:t>
      </w:r>
      <w:r>
        <w:t xml:space="preserve"> </w:t>
      </w:r>
      <w:r>
        <w:t xml:space="preserve">Quotation Estimate</w:t>
      </w:r>
      <w:r>
        <w:t xml:space="preserve"> </w:t>
      </w:r>
      <w:r>
        <w:t xml:space="preserve">shall be subject to a supplementary agreement and additional charges at the rate of $185.00 per hour for the</w:t>
      </w:r>
      <w:r>
        <w:t xml:space="preserve"> </w:t>
      </w:r>
      <w:r>
        <w:t xml:space="preserve">Architect</w:t>
      </w:r>
      <w:r>
        <w:t xml:space="preserve">’s professional time.</w:t>
      </w:r>
    </w:p>
    <w:p>
      <w:pPr>
        <w:pStyle w:val="BodyText"/>
      </w:pPr>
      <w:r>
        <w:rPr>
          <w:bCs/>
          <w:b/>
        </w:rPr>
        <w:t xml:space="preserve">4.4</w:t>
      </w:r>
      <w:r>
        <w:t xml:space="preserve"> </w:t>
      </w:r>
      <w:r>
        <w:t xml:space="preserve">The</w:t>
      </w:r>
      <w:r>
        <w:t xml:space="preserve"> </w:t>
      </w:r>
      <w:r>
        <w:t xml:space="preserve">Architect</w:t>
      </w:r>
      <w:r>
        <w:t xml:space="preserve"> </w:t>
      </w:r>
      <w:r>
        <w:t xml:space="preserve">firm shall maintain professional liability insurance with a minimum coverage of USD 500,000 throughout the duration of the project in</w:t>
      </w:r>
      <w:r>
        <w:t xml:space="preserve"> </w:t>
      </w:r>
      <w:r>
        <w:t xml:space="preserve">Peru Lima</w:t>
      </w:r>
      <w:r>
        <w:t xml:space="preserve">.</w:t>
      </w:r>
    </w:p>
    <w:p>
      <w:pPr>
        <w:pStyle w:val="BodyText"/>
      </w:pPr>
      <w:r>
        <w:rPr>
          <w:bCs/>
          <w:b/>
        </w:rPr>
        <w:t xml:space="preserve">4.5</w:t>
      </w:r>
      <w:r>
        <w:t xml:space="preserve"> </w:t>
      </w:r>
      <w:r>
        <w:t xml:space="preserve">Intellectual property of all architectural drawings, plans, and design documents produced under this</w:t>
      </w:r>
      <w:r>
        <w:t xml:space="preserve"> </w:t>
      </w:r>
      <w:r>
        <w:t xml:space="preserve">Quotation Estimate</w:t>
      </w:r>
      <w:r>
        <w:t xml:space="preserve"> </w:t>
      </w:r>
      <w:r>
        <w:t xml:space="preserve">shall remain with the</w:t>
      </w:r>
      <w:r>
        <w:t xml:space="preserve"> </w:t>
      </w:r>
      <w:r>
        <w:t xml:space="preserve">Architect</w:t>
      </w:r>
      <w:r>
        <w:t xml:space="preserve"> </w:t>
      </w:r>
      <w:r>
        <w:t xml:space="preserve">firm until full payment is received. Upon final settlement, the client shall receive a non-exclusive license to use the documents for the specific project in</w:t>
      </w:r>
      <w:r>
        <w:t xml:space="preserve"> </w:t>
      </w:r>
      <w:r>
        <w:t xml:space="preserve">Peru Lima</w:t>
      </w:r>
      <w:r>
        <w:t xml:space="preserve">.</w:t>
      </w:r>
    </w:p>
    <w:p>
      <w:pPr>
        <w:pStyle w:val="BodyText"/>
      </w:pPr>
      <w:r>
        <w:rPr>
          <w:bCs/>
          <w:b/>
        </w:rPr>
        <w:t xml:space="preserve">4.6</w:t>
      </w:r>
      <w:r>
        <w:t xml:space="preserve"> </w:t>
      </w:r>
      <w:r>
        <w:t xml:space="preserve">Disputes arising from this</w:t>
      </w:r>
      <w:r>
        <w:t xml:space="preserve"> </w:t>
      </w:r>
      <w:r>
        <w:t xml:space="preserve">Quotation Estimate</w:t>
      </w:r>
      <w:r>
        <w:t xml:space="preserve"> </w:t>
      </w:r>
      <w:r>
        <w:t xml:space="preserve">or the subsequent contract shall be resolved through binding arbitration in Lima, Peru, in accordance with the rules of the Centro de Arbitraje y Conciliación de la Cámara de Comercio de Lima.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Peru Lima</w:t>
      </w:r>
      <w:r>
        <w:t xml:space="preserve"> </w:t>
      </w:r>
      <w:r>
        <w:t xml:space="preserve">and agrees to the terms, conditions, and pricing outlined herein. This signature constitutes a formal acceptance and authorizes the</w:t>
      </w:r>
      <w:r>
        <w:t xml:space="preserve"> </w:t>
      </w:r>
      <w:r>
        <w:t xml:space="preserve">Architect</w:t>
      </w:r>
      <w:r>
        <w:t xml:space="preserve"> </w:t>
      </w:r>
      <w:r>
        <w:t xml:space="preserve">firm to proceed with the project as described.</w:t>
      </w:r>
    </w:p>
    <w:p>
      <w:pPr>
        <w:pStyle w:val="BodyText"/>
      </w:pPr>
      <w:r>
        <w:rPr>
          <w:bCs/>
          <w:b/>
        </w:rPr>
        <w:t xml:space="preserve">For Estudio Arquitectónico Andino S.A.C.</w:t>
      </w:r>
    </w:p>
    <w:p>
      <w:pPr>
        <w:pStyle w:val="BodyText"/>
      </w:pPr>
      <w:r>
        <w:t xml:space="preserve">Ing. Arq. Ricardo Mendoza Salazar</w:t>
      </w:r>
      <w:r>
        <w:br/>
      </w:r>
      <w:r>
        <w:t xml:space="preserve">Lead Architect — Peru Lima</w:t>
      </w:r>
      <w:r>
        <w:br/>
      </w:r>
      <w:r>
        <w:t xml:space="preserve">Date: _______________</w:t>
      </w:r>
    </w:p>
    <w:p>
      <w:pPr>
        <w:pStyle w:val="BodyText"/>
      </w:pPr>
      <w:r>
        <w:rPr>
          <w:bCs/>
          <w:b/>
        </w:rPr>
        <w:t xml:space="preserve">Client Acceptance</w:t>
      </w:r>
    </w:p>
    <w:p>
      <w:pPr>
        <w:pStyle w:val="BodyText"/>
      </w:pPr>
      <w:r>
        <w:t xml:space="preserve">[Client Full Name]</w:t>
      </w:r>
      <w:r>
        <w:br/>
      </w:r>
      <w:r>
        <w:t xml:space="preserve">DNI / RUC: _______________</w:t>
      </w:r>
      <w:r>
        <w:br/>
      </w:r>
      <w:r>
        <w:t xml:space="preserve">Date: _______________</w:t>
      </w:r>
    </w:p>
    <w:p>
      <w:pPr>
        <w:pStyle w:val="BodyText"/>
      </w:pPr>
      <w:r>
        <w:t xml:space="preserve">This Quotation Estimate document was prepared exclusively for the project located in Peru Lima and is not transferable to any other property or jurisdiction. © 2025 Estudio Arquitectónico Andino S.A.C. — Lima, Peru.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Peru Lima</dc:title>
  <dc:creator/>
  <dc:language>en</dc:language>
  <cp:keywords/>
  <dcterms:created xsi:type="dcterms:W3CDTF">2026-10-10T03:56:25Z</dcterms:created>
  <dcterms:modified xsi:type="dcterms:W3CDTF">2026-10-10T03:56:25Z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