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Architect Services | Qatar Doha</w:t>
      </w:r>
    </w:p>
    <w:p>
      <w:pPr>
        <w:pStyle w:val="BodyText"/>
      </w:pPr>
      <w:r>
        <w:t xml:space="preserve">Al Noor Architectural Design &amp; Consultancy LLC</w:t>
      </w:r>
    </w:p>
    <w:p>
      <w:pPr>
        <w:pStyle w:val="BodyText"/>
      </w:pPr>
      <w:r>
        <w:t xml:space="preserve">Office 1204, Level 12, Doha Tower, West Bay, Doha, State of Qatar</w:t>
      </w:r>
    </w:p>
    <w:p>
      <w:pPr>
        <w:pStyle w:val="BodyText"/>
      </w:pPr>
      <w:r>
        <w:t xml:space="preserve">Tel: +974-4455-6677 | Email: info@alnoor-architects.qa | CR: 123456</w:t>
      </w:r>
    </w:p>
    <w:bookmarkEnd w:id="20"/>
    <w:p>
      <w:pPr>
        <w:pStyle w:val="BodyText"/>
      </w:pPr>
      <w:r>
        <w:rPr>
          <w:bCs/>
          <w:b/>
        </w:rPr>
        <w:t xml:space="preserve">Quotation No.:</w:t>
      </w:r>
      <w:r>
        <w:t xml:space="preserve"> </w:t>
      </w:r>
      <w:r>
        <w:t xml:space="preserve">QE-2025-0847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Doha, Qatar</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Al Rayyan Development Group WLL</w:t>
            </w:r>
          </w:p>
        </w:tc>
      </w:tr>
      <w:tr>
        <w:tc>
          <w:tcPr/>
          <w:p>
            <w:pPr>
              <w:pStyle w:val="Compact"/>
              <w:jc w:val="left"/>
            </w:pPr>
            <w:r>
              <w:rPr>
                <w:bCs/>
                <w:b/>
              </w:rPr>
              <w:t xml:space="preserve">Project Address:</w:t>
            </w:r>
          </w:p>
        </w:tc>
        <w:tc>
          <w:tcPr/>
          <w:p>
            <w:pPr>
              <w:pStyle w:val="Compact"/>
              <w:jc w:val="left"/>
            </w:pPr>
            <w:r>
              <w:t xml:space="preserve">Al Sadd District, Doha, State of Qatar</w:t>
            </w:r>
          </w:p>
        </w:tc>
      </w:tr>
      <w:tr>
        <w:tc>
          <w:tcPr/>
          <w:p>
            <w:pPr>
              <w:pStyle w:val="Compact"/>
              <w:jc w:val="left"/>
            </w:pPr>
            <w:r>
              <w:rPr>
                <w:bCs/>
                <w:b/>
              </w:rPr>
              <w:t xml:space="preserve">Contact Person:</w:t>
            </w:r>
          </w:p>
        </w:tc>
        <w:tc>
          <w:tcPr/>
          <w:p>
            <w:pPr>
              <w:pStyle w:val="Compact"/>
              <w:jc w:val="left"/>
            </w:pPr>
            <w:r>
              <w:t xml:space="preserve">Mr. Khalid Al-Mansoori, Project Director</w:t>
            </w:r>
          </w:p>
        </w:tc>
      </w:tr>
      <w:tr>
        <w:tc>
          <w:tcPr/>
          <w:p>
            <w:pPr>
              <w:pStyle w:val="Compact"/>
              <w:jc w:val="left"/>
            </w:pPr>
            <w:r>
              <w:rPr>
                <w:bCs/>
                <w:b/>
              </w:rPr>
              <w:t xml:space="preserve">Project Type:</w:t>
            </w:r>
          </w:p>
        </w:tc>
        <w:tc>
          <w:tcPr/>
          <w:p>
            <w:pPr>
              <w:pStyle w:val="Compact"/>
              <w:jc w:val="left"/>
            </w:pPr>
            <w:r>
              <w:t xml:space="preserve">Residential Mixed-Use Development (G+8 Floors, Approx. 12,500 sqm)</w:t>
            </w:r>
          </w:p>
        </w:tc>
      </w:tr>
    </w:tbl>
    <w:bookmarkEnd w:id="21"/>
    <w:bookmarkStart w:id="22" w:name="scope-of-architect-services"/>
    <w:p>
      <w:pPr>
        <w:pStyle w:val="Heading2"/>
      </w:pPr>
      <w:r>
        <w:t xml:space="preserve">2. Scope of Architect Services</w:t>
      </w:r>
    </w:p>
    <w:p>
      <w:pPr>
        <w:pStyle w:val="FirstParagraph"/>
      </w:pPr>
      <w:r>
        <w:t xml:space="preserve">This</w:t>
      </w:r>
      <w:r>
        <w:t xml:space="preserve"> </w:t>
      </w:r>
      <w:r>
        <w:t xml:space="preserve">Quotation Estimate</w:t>
      </w:r>
      <w:r>
        <w:t xml:space="preserve"> </w:t>
      </w:r>
      <w:r>
        <w:t xml:space="preserve">is issued by Al Noor Architectural Design &amp; Consultancy LLC to provide comprehensive</w:t>
      </w:r>
      <w:r>
        <w:t xml:space="preserve"> </w:t>
      </w:r>
      <w:r>
        <w:t xml:space="preserve">Architect</w:t>
      </w:r>
      <w:r>
        <w:t xml:space="preserve"> </w:t>
      </w:r>
      <w:r>
        <w:t xml:space="preserve">professional services for the above-referenced residential mixed-use development project located in</w:t>
      </w:r>
      <w:r>
        <w:t xml:space="preserve"> </w:t>
      </w:r>
      <w:r>
        <w:t xml:space="preserve">Qatar Doha</w:t>
      </w:r>
      <w:r>
        <w:t xml:space="preserve">. The scope encompasses all phases of architectural design, coordination, and project delivery in full compliance with the Qatar Building Code, Municipality of Doha regulations, and the Qatar National Vision 2030 sustainability guidelines. Our</w:t>
      </w:r>
      <w:r>
        <w:t xml:space="preserve"> </w:t>
      </w:r>
      <w:r>
        <w:t xml:space="preserve">Architect</w:t>
      </w:r>
      <w:r>
        <w:t xml:space="preserve"> </w:t>
      </w:r>
      <w:r>
        <w:t xml:space="preserve">team will manage the entire design lifecycle from concept through to construction administration, ensuring that all deliverables meet the highest standards of quality, safety, and aesthetic excellence expected in the</w:t>
      </w:r>
      <w:r>
        <w:t xml:space="preserve"> </w:t>
      </w:r>
      <w:r>
        <w:t xml:space="preserve">Qatar Doha</w:t>
      </w:r>
      <w:r>
        <w:t xml:space="preserve"> </w:t>
      </w:r>
      <w:r>
        <w:t xml:space="preserve">built environment.</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Architect Service</w:t>
            </w:r>
          </w:p>
        </w:tc>
        <w:tc>
          <w:tcPr/>
          <w:p>
            <w:pPr>
              <w:pStyle w:val="Compact"/>
              <w:jc w:val="left"/>
            </w:pPr>
            <w:r>
              <w:t xml:space="preserve">Phase</w:t>
            </w:r>
          </w:p>
        </w:tc>
        <w:tc>
          <w:tcPr/>
          <w:p>
            <w:pPr>
              <w:pStyle w:val="Compact"/>
              <w:jc w:val="left"/>
            </w:pPr>
            <w:r>
              <w:t xml:space="preserve">Amount (QAR)</w:t>
            </w:r>
          </w:p>
        </w:tc>
      </w:tr>
      <w:tr>
        <w:tc>
          <w:tcPr/>
          <w:p>
            <w:pPr>
              <w:pStyle w:val="Compact"/>
              <w:jc w:val="left"/>
            </w:pPr>
            <w:r>
              <w:t xml:space="preserve">01</w:t>
            </w:r>
          </w:p>
        </w:tc>
        <w:tc>
          <w:tcPr/>
          <w:p>
            <w:pPr>
              <w:pStyle w:val="Compact"/>
              <w:jc w:val="left"/>
            </w:pPr>
            <w:r>
              <w:t xml:space="preserve">Pre-Design Feasibility Study &amp; Site Analysis in Doha, Qatar</w:t>
            </w:r>
          </w:p>
        </w:tc>
        <w:tc>
          <w:tcPr/>
          <w:p>
            <w:pPr>
              <w:pStyle w:val="Compact"/>
              <w:jc w:val="left"/>
            </w:pPr>
            <w:r>
              <w:t xml:space="preserve">Phase 1</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Concept Design Development (3D Massing, Schematic Layouts, Material Palette)</w:t>
            </w:r>
          </w:p>
        </w:tc>
        <w:tc>
          <w:tcPr/>
          <w:p>
            <w:pPr>
              <w:pStyle w:val="Compact"/>
              <w:jc w:val="left"/>
            </w:pPr>
            <w:r>
              <w:t xml:space="preserve">Phase 2</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Detailed Architectural Design &amp; Working Drawings (All Floors, Sections, Elevations, Details)</w:t>
            </w:r>
          </w:p>
        </w:tc>
        <w:tc>
          <w:tcPr/>
          <w:p>
            <w:pPr>
              <w:pStyle w:val="Compact"/>
              <w:jc w:val="left"/>
            </w:pPr>
            <w:r>
              <w:t xml:space="preserve">Phase 3</w:t>
            </w:r>
          </w:p>
        </w:tc>
        <w:tc>
          <w:tcPr/>
          <w:p>
            <w:pPr>
              <w:pStyle w:val="Compact"/>
              <w:jc w:val="left"/>
            </w:pPr>
            <w:r>
              <w:t xml:space="preserve">285,000.00</w:t>
            </w:r>
          </w:p>
        </w:tc>
      </w:tr>
      <w:tr>
        <w:tc>
          <w:tcPr/>
          <w:p>
            <w:pPr>
              <w:pStyle w:val="Compact"/>
              <w:jc w:val="left"/>
            </w:pPr>
            <w:r>
              <w:t xml:space="preserve">04</w:t>
            </w:r>
          </w:p>
        </w:tc>
        <w:tc>
          <w:tcPr/>
          <w:p>
            <w:pPr>
              <w:pStyle w:val="Compact"/>
              <w:jc w:val="left"/>
            </w:pPr>
            <w:r>
              <w:t xml:space="preserve">Qatar Municipality &amp; Civil Defence Approval Submissions and Follow-ups</w:t>
            </w:r>
          </w:p>
        </w:tc>
        <w:tc>
          <w:tcPr/>
          <w:p>
            <w:pPr>
              <w:pStyle w:val="Compact"/>
              <w:jc w:val="left"/>
            </w:pPr>
            <w:r>
              <w:t xml:space="preserve">Phase 4</w:t>
            </w:r>
          </w:p>
        </w:tc>
        <w:tc>
          <w:tcPr/>
          <w:p>
            <w:pPr>
              <w:pStyle w:val="Compact"/>
              <w:jc w:val="left"/>
            </w:pPr>
            <w:r>
              <w:t xml:space="preserve">65,000.00</w:t>
            </w:r>
          </w:p>
        </w:tc>
      </w:tr>
      <w:tr>
        <w:tc>
          <w:tcPr/>
          <w:p>
            <w:pPr>
              <w:pStyle w:val="Compact"/>
              <w:jc w:val="left"/>
            </w:pPr>
            <w:r>
              <w:t xml:space="preserve">05</w:t>
            </w:r>
          </w:p>
        </w:tc>
        <w:tc>
          <w:tcPr/>
          <w:p>
            <w:pPr>
              <w:pStyle w:val="Compact"/>
              <w:jc w:val="left"/>
            </w:pPr>
            <w:r>
              <w:t xml:space="preserve">Tender Documentation &amp; Bill of Quantities Coordination</w:t>
            </w:r>
          </w:p>
        </w:tc>
        <w:tc>
          <w:tcPr/>
          <w:p>
            <w:pPr>
              <w:pStyle w:val="Compact"/>
              <w:jc w:val="left"/>
            </w:pPr>
            <w:r>
              <w:t xml:space="preserve">Phase 5</w:t>
            </w:r>
          </w:p>
        </w:tc>
        <w:tc>
          <w:tcPr/>
          <w:p>
            <w:pPr>
              <w:pStyle w:val="Compact"/>
              <w:jc w:val="left"/>
            </w:pPr>
            <w:r>
              <w:t xml:space="preserve">55,000.00</w:t>
            </w:r>
          </w:p>
        </w:tc>
      </w:tr>
      <w:tr>
        <w:tc>
          <w:tcPr/>
          <w:p>
            <w:pPr>
              <w:pStyle w:val="Compact"/>
              <w:jc w:val="left"/>
            </w:pPr>
            <w:r>
              <w:t xml:space="preserve">06</w:t>
            </w:r>
          </w:p>
        </w:tc>
        <w:tc>
          <w:tcPr/>
          <w:p>
            <w:pPr>
              <w:pStyle w:val="Compact"/>
              <w:jc w:val="left"/>
            </w:pPr>
            <w:r>
              <w:t xml:space="preserve">Construction Phase – Site Supervision, Design Queries, and Value Engineering (18 Months)</w:t>
            </w:r>
          </w:p>
        </w:tc>
        <w:tc>
          <w:tcPr/>
          <w:p>
            <w:pPr>
              <w:pStyle w:val="Compact"/>
              <w:jc w:val="left"/>
            </w:pPr>
            <w:r>
              <w:t xml:space="preserve">Phase 6</w:t>
            </w:r>
          </w:p>
        </w:tc>
        <w:tc>
          <w:tcPr/>
          <w:p>
            <w:pPr>
              <w:pStyle w:val="Compact"/>
              <w:jc w:val="left"/>
            </w:pPr>
            <w:r>
              <w:t xml:space="preserve">195,000.00</w:t>
            </w:r>
          </w:p>
        </w:tc>
      </w:tr>
      <w:tr>
        <w:tc>
          <w:tcPr/>
          <w:p>
            <w:pPr>
              <w:pStyle w:val="Compact"/>
              <w:jc w:val="left"/>
            </w:pPr>
            <w:r>
              <w:t xml:space="preserve">07</w:t>
            </w:r>
          </w:p>
        </w:tc>
        <w:tc>
          <w:tcPr/>
          <w:p>
            <w:pPr>
              <w:pStyle w:val="Compact"/>
              <w:jc w:val="left"/>
            </w:pPr>
            <w:r>
              <w:t xml:space="preserve">As-Built Documentation &amp; Handover Package Preparation</w:t>
            </w:r>
          </w:p>
        </w:tc>
        <w:tc>
          <w:tcPr/>
          <w:p>
            <w:pPr>
              <w:pStyle w:val="Compact"/>
              <w:jc w:val="left"/>
            </w:pPr>
            <w:r>
              <w:t xml:space="preserve">Phase 7</w:t>
            </w:r>
          </w:p>
        </w:tc>
        <w:tc>
          <w:tcPr/>
          <w:p>
            <w:pPr>
              <w:pStyle w:val="Compact"/>
              <w:jc w:val="left"/>
            </w:pPr>
            <w:r>
              <w:t xml:space="preserve">35,000.00</w:t>
            </w:r>
          </w:p>
        </w:tc>
      </w:tr>
      <w:tr>
        <w:tc>
          <w:tcPr/>
          <w:p>
            <w:pPr>
              <w:pStyle w:val="Compact"/>
              <w:jc w:val="left"/>
            </w:pPr>
            <w:r>
              <w:t xml:space="preserve">08</w:t>
            </w:r>
          </w:p>
        </w:tc>
        <w:tc>
          <w:tcPr/>
          <w:p>
            <w:pPr>
              <w:pStyle w:val="Compact"/>
              <w:jc w:val="left"/>
            </w:pPr>
            <w:r>
              <w:t xml:space="preserve">Sustainability &amp; Energy Modelling (Estidama Pearl Rating Compliance)</w:t>
            </w:r>
          </w:p>
        </w:tc>
        <w:tc>
          <w:tcPr/>
          <w:p>
            <w:pPr>
              <w:pStyle w:val="Compact"/>
              <w:jc w:val="left"/>
            </w:pPr>
            <w:r>
              <w:t xml:space="preserve">Phase 3</w:t>
            </w:r>
          </w:p>
        </w:tc>
        <w:tc>
          <w:tcPr/>
          <w:p>
            <w:pPr>
              <w:pStyle w:val="Compact"/>
              <w:jc w:val="left"/>
            </w:pPr>
            <w:r>
              <w:t xml:space="preserve">48,000.00</w:t>
            </w:r>
          </w:p>
        </w:tc>
      </w:tr>
      <w:tr>
        <w:tc>
          <w:tcPr/>
          <w:p>
            <w:pPr>
              <w:pStyle w:val="Compact"/>
              <w:jc w:val="left"/>
            </w:pPr>
            <w:r>
              <w:t xml:space="preserve">09</w:t>
            </w:r>
          </w:p>
        </w:tc>
        <w:tc>
          <w:tcPr/>
          <w:p>
            <w:pPr>
              <w:pStyle w:val="Compact"/>
              <w:jc w:val="left"/>
            </w:pPr>
            <w:r>
              <w:t xml:space="preserve">Interior Design Coordination &amp; FF&amp;E Scheduling (Common Areas)</w:t>
            </w:r>
          </w:p>
        </w:tc>
        <w:tc>
          <w:tcPr/>
          <w:p>
            <w:pPr>
              <w:pStyle w:val="Compact"/>
              <w:jc w:val="left"/>
            </w:pPr>
            <w:r>
              <w:t xml:space="preserve">Phase 3</w:t>
            </w:r>
          </w:p>
        </w:tc>
        <w:tc>
          <w:tcPr/>
          <w:p>
            <w:pPr>
              <w:pStyle w:val="Compact"/>
              <w:jc w:val="left"/>
            </w:pPr>
            <w:r>
              <w:t xml:space="preserve">72,000.00</w:t>
            </w:r>
          </w:p>
        </w:tc>
      </w:tr>
      <w:tr>
        <w:tc>
          <w:tcPr/>
          <w:p>
            <w:pPr>
              <w:pStyle w:val="Compact"/>
              <w:jc w:val="left"/>
            </w:pPr>
            <w:r>
              <w:t xml:space="preserve">10</w:t>
            </w:r>
          </w:p>
        </w:tc>
        <w:tc>
          <w:tcPr/>
          <w:p>
            <w:pPr>
              <w:pStyle w:val="Compact"/>
              <w:jc w:val="left"/>
            </w:pPr>
            <w:r>
              <w:t xml:space="preserve">Project Management &amp; Client Liaison (Full Duration)</w:t>
            </w:r>
          </w:p>
        </w:tc>
        <w:tc>
          <w:tcPr/>
          <w:p>
            <w:pPr>
              <w:pStyle w:val="Compact"/>
              <w:jc w:val="left"/>
            </w:pPr>
            <w:r>
              <w:t xml:space="preserve">All Phases</w:t>
            </w:r>
          </w:p>
        </w:tc>
        <w:tc>
          <w:tcPr/>
          <w:p>
            <w:pPr>
              <w:pStyle w:val="Compact"/>
              <w:jc w:val="left"/>
            </w:pPr>
            <w:r>
              <w:t xml:space="preserve">85,000.00</w:t>
            </w:r>
          </w:p>
        </w:tc>
      </w:tr>
      <w:tr>
        <w:tc>
          <w:tcPr>
            <w:gridSpan w:val="3"/>
          </w:tcPr>
          <w:p>
            <w:pPr>
              <w:pStyle w:val="Compact"/>
              <w:jc w:val="left"/>
            </w:pPr>
            <w:r>
              <w:t xml:space="preserve">TOTAL QUOTATION ESTIMATE AMOUNT (QAR)</w:t>
            </w:r>
          </w:p>
        </w:tc>
        <w:tc>
          <w:tcPr/>
          <w:p>
            <w:pPr>
              <w:pStyle w:val="Compact"/>
              <w:jc w:val="left"/>
            </w:pPr>
            <w:r>
              <w:t xml:space="preserve">1,005,000.00</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is exclusive of Qatar Value Added Tax (VAT) at 5%, which will be applied at the point of invoicing. All costs are quoted in Qatari Riyals (QAR). This estimate assumes a standard project duration of 24 months from the date of contract execution. Any scope changes or additional</w:t>
      </w:r>
      <w:r>
        <w:t xml:space="preserve"> </w:t>
      </w:r>
      <w:r>
        <w:t xml:space="preserve">Architect</w:t>
      </w:r>
      <w:r>
        <w:t xml:space="preserve"> </w:t>
      </w:r>
      <w:r>
        <w:t xml:space="preserve">services beyond the defined scope will be subject to a separate supplementary quotation.</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(QAR)</w:t>
            </w:r>
          </w:p>
        </w:tc>
      </w:tr>
      <w:tr>
        <w:tc>
          <w:tcPr/>
          <w:p>
            <w:pPr>
              <w:pStyle w:val="Compact"/>
              <w:jc w:val="left"/>
            </w:pPr>
            <w:r>
              <w:t xml:space="preserve">Contract Signing &amp; Mobilization</w:t>
            </w:r>
          </w:p>
        </w:tc>
        <w:tc>
          <w:tcPr/>
          <w:p>
            <w:pPr>
              <w:pStyle w:val="Compact"/>
              <w:jc w:val="left"/>
            </w:pPr>
            <w:r>
              <w:t xml:space="preserve">15%</w:t>
            </w:r>
          </w:p>
        </w:tc>
        <w:tc>
          <w:tcPr/>
          <w:p>
            <w:pPr>
              <w:pStyle w:val="Compact"/>
              <w:jc w:val="left"/>
            </w:pPr>
            <w:r>
              <w:t xml:space="preserve">150,750.00</w:t>
            </w:r>
          </w:p>
        </w:tc>
      </w:tr>
      <w:tr>
        <w:tc>
          <w:tcPr/>
          <w:p>
            <w:pPr>
              <w:pStyle w:val="Compact"/>
              <w:jc w:val="left"/>
            </w:pPr>
            <w:r>
              <w:t xml:space="preserve">Concept Design Approval</w:t>
            </w:r>
          </w:p>
        </w:tc>
        <w:tc>
          <w:tcPr/>
          <w:p>
            <w:pPr>
              <w:pStyle w:val="Compact"/>
              <w:jc w:val="left"/>
            </w:pPr>
            <w:r>
              <w:t xml:space="preserve">20%</w:t>
            </w:r>
          </w:p>
        </w:tc>
        <w:tc>
          <w:tcPr/>
          <w:p>
            <w:pPr>
              <w:pStyle w:val="Compact"/>
              <w:jc w:val="left"/>
            </w:pPr>
            <w:r>
              <w:t xml:space="preserve">201,000.00</w:t>
            </w:r>
          </w:p>
        </w:tc>
      </w:tr>
      <w:tr>
        <w:tc>
          <w:tcPr/>
          <w:p>
            <w:pPr>
              <w:pStyle w:val="Compact"/>
              <w:jc w:val="left"/>
            </w:pPr>
            <w:r>
              <w:t xml:space="preserve">Detailed Design &amp; Municipality Approval</w:t>
            </w:r>
          </w:p>
        </w:tc>
        <w:tc>
          <w:tcPr/>
          <w:p>
            <w:pPr>
              <w:pStyle w:val="Compact"/>
              <w:jc w:val="left"/>
            </w:pPr>
            <w:r>
              <w:t xml:space="preserve">30%</w:t>
            </w:r>
          </w:p>
        </w:tc>
        <w:tc>
          <w:tcPr/>
          <w:p>
            <w:pPr>
              <w:pStyle w:val="Compact"/>
              <w:jc w:val="left"/>
            </w:pPr>
            <w:r>
              <w:t xml:space="preserve">301,500.00</w:t>
            </w:r>
          </w:p>
        </w:tc>
      </w:tr>
      <w:tr>
        <w:tc>
          <w:tcPr/>
          <w:p>
            <w:pPr>
              <w:pStyle w:val="Compact"/>
              <w:jc w:val="left"/>
            </w:pPr>
            <w:r>
              <w:t xml:space="preserve">Construction Phase (Monthly Progress Payments)</w:t>
            </w:r>
          </w:p>
        </w:tc>
        <w:tc>
          <w:tcPr/>
          <w:p>
            <w:pPr>
              <w:pStyle w:val="Compact"/>
              <w:jc w:val="left"/>
            </w:pPr>
            <w:r>
              <w:t xml:space="preserve">25%</w:t>
            </w:r>
          </w:p>
        </w:tc>
        <w:tc>
          <w:tcPr/>
          <w:p>
            <w:pPr>
              <w:pStyle w:val="Compact"/>
              <w:jc w:val="left"/>
            </w:pPr>
            <w:r>
              <w:t xml:space="preserve">251,250.00</w:t>
            </w:r>
          </w:p>
        </w:tc>
      </w:tr>
      <w:tr>
        <w:tc>
          <w:tcPr/>
          <w:p>
            <w:pPr>
              <w:pStyle w:val="Compact"/>
              <w:jc w:val="left"/>
            </w:pPr>
            <w:r>
              <w:t xml:space="preserve">Project Handover &amp; As-Built Submission</w:t>
            </w:r>
          </w:p>
        </w:tc>
        <w:tc>
          <w:tcPr/>
          <w:p>
            <w:pPr>
              <w:pStyle w:val="Compact"/>
              <w:jc w:val="left"/>
            </w:pPr>
            <w:r>
              <w:t xml:space="preserve">10%</w:t>
            </w:r>
          </w:p>
        </w:tc>
        <w:tc>
          <w:tcPr/>
          <w:p>
            <w:pPr>
              <w:pStyle w:val="Compact"/>
              <w:jc w:val="left"/>
            </w:pPr>
            <w:r>
              <w:t xml:space="preserve">100,500.00</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Upon expiry, all rates and terms are subject to revision.</w:t>
      </w:r>
    </w:p>
    <w:p>
      <w:pPr>
        <w:numPr>
          <w:ilvl w:val="0"/>
          <w:numId w:val="1001"/>
        </w:numPr>
        <w:pStyle w:val="Compact"/>
      </w:pPr>
      <w:r>
        <w:t xml:space="preserve">The</w:t>
      </w:r>
      <w:r>
        <w:t xml:space="preserve"> </w:t>
      </w:r>
      <w:r>
        <w:t xml:space="preserve">Architect</w:t>
      </w:r>
      <w:r>
        <w:t xml:space="preserve"> </w:t>
      </w:r>
      <w:r>
        <w:t xml:space="preserve">firm reserves the right to withdraw this quotation if the project scope is materially altered prior to contract execution.</w:t>
      </w:r>
    </w:p>
    <w:p>
      <w:pPr>
        <w:numPr>
          <w:ilvl w:val="0"/>
          <w:numId w:val="1001"/>
        </w:numPr>
        <w:pStyle w:val="Compact"/>
      </w:pPr>
      <w:r>
        <w:t xml:space="preserve">All architectural drawings, 3D models, and design documents remain the intellectual property of Al Noor Architectural Design &amp; Consultancy LLC until full payment is received.</w:t>
      </w:r>
    </w:p>
    <w:p>
      <w:pPr>
        <w:numPr>
          <w:ilvl w:val="0"/>
          <w:numId w:val="1001"/>
        </w:numPr>
        <w:pStyle w:val="Compact"/>
      </w:pPr>
      <w:r>
        <w:t xml:space="preserve">Payment terms are Net 30 days from the date of invoice issuance. Late payments shall attract interest at 1.5% per month as per Qatar Commercial Law.</w:t>
      </w:r>
    </w:p>
    <w:p>
      <w:pPr>
        <w:numPr>
          <w:ilvl w:val="0"/>
          <w:numId w:val="1001"/>
        </w:numPr>
        <w:pStyle w:val="Compact"/>
      </w:pPr>
      <w:r>
        <w:t xml:space="preserve">The</w:t>
      </w:r>
      <w:r>
        <w:t xml:space="preserve"> </w:t>
      </w:r>
      <w:r>
        <w:t xml:space="preserve">Architect</w:t>
      </w:r>
      <w:r>
        <w:t xml:space="preserve"> </w:t>
      </w:r>
      <w:r>
        <w:t xml:space="preserve">shall maintain professional indemnity insurance with a minimum coverage of QAR 5,000,000 throughout the project duration in</w:t>
      </w:r>
      <w:r>
        <w:t xml:space="preserve"> </w:t>
      </w:r>
      <w:r>
        <w:t xml:space="preserve">Qatar Doha</w:t>
      </w:r>
      <w:r>
        <w:t xml:space="preserve">.</w:t>
      </w:r>
    </w:p>
    <w:p>
      <w:pPr>
        <w:numPr>
          <w:ilvl w:val="0"/>
          <w:numId w:val="1001"/>
        </w:numPr>
        <w:pStyle w:val="Compact"/>
      </w:pPr>
      <w:r>
        <w:t xml:space="preserve">All work shall comply with the Qatar Building Code (QBC), Doha Municipality regulations, and applicable standards issued by the Supreme Committee for Delivery &amp; Legacy.</w:t>
      </w:r>
    </w:p>
    <w:p>
      <w:pPr>
        <w:numPr>
          <w:ilvl w:val="0"/>
          <w:numId w:val="1001"/>
        </w:numPr>
        <w:pStyle w:val="Compact"/>
      </w:pPr>
      <w:r>
        <w:t xml:space="preserve">Disputes arising from this engagement shall be resolved through arbitration in Doha, Qatar, in accordance with the Qatar Arbitration Law.</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Architect Services Agreement is executed by both parties.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w:t>
      </w:r>
      <w:r>
        <w:t xml:space="preserve"> </w:t>
      </w:r>
      <w:r>
        <w:t xml:space="preserve">Architect</w:t>
      </w:r>
      <w:r>
        <w:t xml:space="preserve"> </w:t>
      </w:r>
      <w:r>
        <w:t xml:space="preserve">services to be delivered in</w:t>
      </w:r>
      <w:r>
        <w:t xml:space="preserve"> </w:t>
      </w:r>
      <w:r>
        <w:t xml:space="preserve">Qatar Doha</w:t>
      </w:r>
      <w:r>
        <w:t xml:space="preserve">.</w:t>
      </w:r>
    </w:p>
    <w:p>
      <w:pPr>
        <w:pStyle w:val="BodyText"/>
      </w:pPr>
      <w:r>
        <w:rPr>
          <w:bCs/>
          <w:b/>
        </w:rPr>
        <w:t xml:space="preserve">For Al Noor Architectural Design &amp; Consultancy LLC</w:t>
      </w:r>
      <w:r>
        <w:br/>
      </w:r>
      <w:r>
        <w:t xml:space="preserve">Name: Eng. Sarah Al-Thani</w:t>
      </w:r>
      <w:r>
        <w:br/>
      </w:r>
      <w:r>
        <w:t xml:space="preserve">Title: Principal Architect</w:t>
      </w:r>
      <w:r>
        <w:br/>
      </w:r>
      <w:r>
        <w:t xml:space="preserve">Date: _______________</w:t>
      </w:r>
    </w:p>
    <w:p>
      <w:pPr>
        <w:pStyle w:val="BodyText"/>
      </w:pPr>
      <w:r>
        <w:rPr>
          <w:bCs/>
          <w:b/>
        </w:rPr>
        <w:t xml:space="preserve">For Al Rayyan Development Group WLL</w:t>
      </w:r>
      <w:r>
        <w:br/>
      </w:r>
      <w:r>
        <w:t xml:space="preserve">Name: _______________________</w:t>
      </w:r>
      <w:r>
        <w:br/>
      </w:r>
      <w:r>
        <w:t xml:space="preserve">Title: _______________________</w:t>
      </w:r>
      <w:r>
        <w:br/>
      </w:r>
      <w:r>
        <w:t xml:space="preserve">Date: _______________</w:t>
      </w:r>
    </w:p>
    <w:p>
      <w:pPr>
        <w:pStyle w:val="BodyText"/>
      </w:pPr>
      <w:r>
        <w:t xml:space="preserve">Al Noor Architectural Design &amp; Consultancy LLC | Doha, State of Qatar | CR: 123456 | VAT Reg: QV-987654321</w:t>
      </w:r>
    </w:p>
    <w:p>
      <w:pPr>
        <w:pStyle w:val="BodyText"/>
      </w:pPr>
      <w:r>
        <w:t xml:space="preserve">This Quotation Estimate document is generated electronically and is valid without a physical stamp.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Qatar Doha</dc:title>
  <dc:creator/>
  <dc:language>en</dc:language>
  <cp:keywords/>
  <dcterms:created xsi:type="dcterms:W3CDTF">2026-10-10T00:30:25Z</dcterms:created>
  <dcterms:modified xsi:type="dcterms:W3CDTF">2026-10-10T00:30:25Z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