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1" w:name="quotation-estimate"/>
    <w:p>
      <w:pPr>
        <w:pStyle w:val="Heading1"/>
      </w:pPr>
      <w:r>
        <w:t xml:space="preserve">QUOTATION ESTIMATE</w:t>
      </w:r>
    </w:p>
    <w:bookmarkStart w:id="20" w:name="Xbbee766ef30fcce3037ab92a0a8eeabbef1f2ab"/>
    <w:p>
      <w:pPr>
        <w:pStyle w:val="Heading2"/>
      </w:pPr>
      <w:r>
        <w:t xml:space="preserve">Architectural Design &amp; Consultation Services</w:t>
      </w:r>
    </w:p>
    <w:p>
      <w:pPr>
        <w:pStyle w:val="FirstParagraph"/>
      </w:pPr>
      <w:r>
        <w:t xml:space="preserve">Quotation Reference No: QE-JED-2025-0487 | Date: 15 June 2025</w:t>
      </w:r>
    </w:p>
    <w:bookmarkEnd w:id="20"/>
    <w:bookmarkEnd w:id="21"/>
    <w:p>
      <w:pPr>
        <w:pStyle w:val="BodyText"/>
      </w:pPr>
      <w:r>
        <w:rPr>
          <w:bCs/>
          <w:b/>
        </w:rPr>
        <w:t xml:space="preserve">Al-Madina Architectural Design Studio</w:t>
      </w:r>
      <w:r>
        <w:br/>
      </w:r>
      <w:r>
        <w:t xml:space="preserve">Office 12, King Fahd Road, Al-Salam District</w:t>
      </w:r>
      <w:r>
        <w:br/>
      </w:r>
      <w:r>
        <w:t xml:space="preserve">Jeddah 23412, Saudi Arabia</w:t>
      </w:r>
      <w:r>
        <w:br/>
      </w:r>
      <w:r>
        <w:t xml:space="preserve">Tel: +966 12 555 0147 | Email: info@almadina-arch.sa</w:t>
      </w:r>
      <w:r>
        <w:br/>
      </w:r>
      <w:r>
        <w:t xml:space="preserve">CR No: 1010XXXXXX | VAT No: 3101XXXXXX</w:t>
      </w:r>
    </w:p>
    <w:p>
      <w:pPr>
        <w:pStyle w:val="BodyText"/>
      </w:pPr>
      <w:r>
        <w:rPr>
          <w:bCs/>
          <w:b/>
        </w:rPr>
        <w:t xml:space="preserve">Prepared For:</w:t>
      </w:r>
      <w:r>
        <w:br/>
      </w:r>
      <w:r>
        <w:t xml:space="preserve">Mr. Khalid Al-Otaibi</w:t>
      </w:r>
      <w:r>
        <w:br/>
      </w:r>
      <w:r>
        <w:t xml:space="preserve">Al-Otaibi Real Estate Development Co.</w:t>
      </w:r>
      <w:r>
        <w:br/>
      </w:r>
      <w:r>
        <w:t xml:space="preserve">Prince Sultan Road, Al-Rawdah</w:t>
      </w:r>
      <w:r>
        <w:br/>
      </w:r>
      <w:r>
        <w:t xml:space="preserve">Jeddah 23436, Saudi Arabia</w:t>
      </w:r>
      <w:r>
        <w:br/>
      </w:r>
      <w:r>
        <w:t xml:space="preserve">Tel: +966 50 XXX XXXX</w:t>
      </w:r>
    </w:p>
    <w:bookmarkStart w:id="22" w:name="project-overview"/>
    <w:p>
      <w:pPr>
        <w:pStyle w:val="Heading3"/>
      </w:pPr>
      <w:r>
        <w:t xml:space="preserve">1. Project Overview</w:t>
      </w:r>
    </w:p>
    <w:p>
      <w:pPr>
        <w:pStyle w:val="FirstParagraph"/>
      </w:pPr>
      <w:r>
        <w:t xml:space="preserve">This Quotation Estimate is issued by Al-Madina Architectural Design Studio, a licensed Architect firm registered with the Saudi Council of Engineers (SCE) and the Ministry of Municipal and Rural Affairs, to provide comprehensive architectural design and consultancy services for the proposed mixed-use residential and commercial development project located in the Al-Salam District, Jeddah, Saudi Arabia. The Architect team will be responsible for the full design lifecycle, from conceptual planning through to construction documentation, ensuring full compliance with the Saudi Building Code, Jeddah Municipality regulations, and all applicable standards of Saudi Arabia Jeddah urban planning authorities.</w:t>
      </w:r>
    </w:p>
    <w:bookmarkEnd w:id="22"/>
    <w:bookmarkStart w:id="23" w:name="scope-of-architect-services"/>
    <w:p>
      <w:pPr>
        <w:pStyle w:val="Heading3"/>
      </w:pPr>
      <w:r>
        <w:t xml:space="preserve">2. Scope of Architect Services</w:t>
      </w:r>
    </w:p>
    <w:p>
      <w:pPr>
        <w:pStyle w:val="FirstParagraph"/>
      </w:pPr>
      <w:r>
        <w:t xml:space="preserve">The Architect services outlined in this Quotation Estimate encompass the following phases of design and professional consultancy:</w:t>
      </w:r>
    </w:p>
    <w:p>
      <w:pPr>
        <w:numPr>
          <w:ilvl w:val="0"/>
          <w:numId w:val="1001"/>
        </w:numPr>
        <w:pStyle w:val="Compact"/>
      </w:pPr>
      <w:r>
        <w:rPr>
          <w:bCs/>
          <w:b/>
        </w:rPr>
        <w:t xml:space="preserve">Conceptual Design Phase:</w:t>
      </w:r>
      <w:r>
        <w:t xml:space="preserve"> </w:t>
      </w:r>
      <w:r>
        <w:t xml:space="preserve">Development of initial massing studies, site analysis, and conceptual architectural drawings tailored to the specific climatic and cultural context of Saudi Arabia Jeddah, including considerations for the Red Sea coastal environment.</w:t>
      </w:r>
    </w:p>
    <w:p>
      <w:pPr>
        <w:numPr>
          <w:ilvl w:val="0"/>
          <w:numId w:val="1001"/>
        </w:numPr>
        <w:pStyle w:val="Compact"/>
      </w:pPr>
      <w:r>
        <w:rPr>
          <w:bCs/>
          <w:b/>
        </w:rPr>
        <w:t xml:space="preserve">Schematic Design Phase:</w:t>
      </w:r>
      <w:r>
        <w:t xml:space="preserve"> </w:t>
      </w:r>
      <w:r>
        <w:t xml:space="preserve">Production of schematic architectural plans, elevations, and 3D renderings for client review and approval, incorporating feedback from Jeddah Municipality planning department.</w:t>
      </w:r>
    </w:p>
    <w:p>
      <w:pPr>
        <w:numPr>
          <w:ilvl w:val="0"/>
          <w:numId w:val="1001"/>
        </w:numPr>
        <w:pStyle w:val="Compact"/>
      </w:pPr>
      <w:r>
        <w:rPr>
          <w:bCs/>
          <w:b/>
        </w:rPr>
        <w:t xml:space="preserve">Design Development Phase:</w:t>
      </w:r>
      <w:r>
        <w:t xml:space="preserve"> </w:t>
      </w:r>
      <w:r>
        <w:t xml:space="preserve">Detailed architectural design including material specifications, structural coordination, MEP integration, and landscape architecture planning compliant with Saudi Arabia Jeddah zoning regulations.</w:t>
      </w:r>
    </w:p>
    <w:p>
      <w:pPr>
        <w:numPr>
          <w:ilvl w:val="0"/>
          <w:numId w:val="1001"/>
        </w:numPr>
        <w:pStyle w:val="Compact"/>
      </w:pPr>
      <w:r>
        <w:rPr>
          <w:bCs/>
          <w:b/>
        </w:rPr>
        <w:t xml:space="preserve">Construction Documentation:</w:t>
      </w:r>
      <w:r>
        <w:t xml:space="preserve"> </w:t>
      </w:r>
      <w:r>
        <w:t xml:space="preserve">Full set of construction drawings, specifications, and technical schedules required for tendering and construction, prepared in accordance with Saudi Building Code (SBC) requirements.</w:t>
      </w:r>
    </w:p>
    <w:p>
      <w:pPr>
        <w:numPr>
          <w:ilvl w:val="0"/>
          <w:numId w:val="1001"/>
        </w:numPr>
        <w:pStyle w:val="Compact"/>
      </w:pPr>
      <w:r>
        <w:rPr>
          <w:bCs/>
          <w:b/>
        </w:rPr>
        <w:t xml:space="preserve">Authority Submittals &amp; Approvals:</w:t>
      </w:r>
      <w:r>
        <w:t xml:space="preserve"> </w:t>
      </w:r>
      <w:r>
        <w:t xml:space="preserve">Preparation and submission of all architectural documentation to Jeddah Municipality, the Saudi Building Authority, and relevant governmental bodies in Saudi Arabia Jeddah to obtain construction permits.</w:t>
      </w:r>
    </w:p>
    <w:p>
      <w:pPr>
        <w:numPr>
          <w:ilvl w:val="0"/>
          <w:numId w:val="1001"/>
        </w:numPr>
        <w:pStyle w:val="Compact"/>
      </w:pPr>
      <w:r>
        <w:rPr>
          <w:bCs/>
          <w:b/>
        </w:rPr>
        <w:t xml:space="preserve">Construction Phase Support:</w:t>
      </w:r>
      <w:r>
        <w:t xml:space="preserve"> </w:t>
      </w:r>
      <w:r>
        <w:t xml:space="preserve">Site supervision, design queries resolution, and architectural oversight during the construction period to ensure fidelity to the approved design.</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Architect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Conceptual Design &amp; Site Analysis (Architect)</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Schematic Design &amp; 3D Visualization</w:t>
            </w:r>
          </w:p>
        </w:tc>
        <w:tc>
          <w:tcPr/>
          <w:p>
            <w:pPr>
              <w:pStyle w:val="Compact"/>
              <w:jc w:val="left"/>
            </w:pPr>
            <w:r>
              <w:t xml:space="preserve">6 weeks</w:t>
            </w:r>
          </w:p>
        </w:tc>
        <w:tc>
          <w:tcPr/>
          <w:p>
            <w:pPr>
              <w:pStyle w:val="Compact"/>
              <w:jc w:val="left"/>
            </w:pPr>
            <w:r>
              <w:t xml:space="preserve">Lump Sum</w:t>
            </w:r>
          </w:p>
        </w:tc>
        <w:tc>
          <w:tcPr/>
          <w:p>
            <w:pPr>
              <w:pStyle w:val="Compact"/>
              <w:jc w:val="left"/>
            </w:pPr>
            <w:r>
              <w:t xml:space="preserve">120,000.00</w:t>
            </w:r>
          </w:p>
        </w:tc>
      </w:tr>
      <w:tr>
        <w:tc>
          <w:tcPr/>
          <w:p>
            <w:pPr>
              <w:pStyle w:val="Compact"/>
              <w:jc w:val="left"/>
            </w:pPr>
            <w:r>
              <w:t xml:space="preserve">3</w:t>
            </w:r>
          </w:p>
        </w:tc>
        <w:tc>
          <w:tcPr/>
          <w:p>
            <w:pPr>
              <w:pStyle w:val="Compact"/>
              <w:jc w:val="left"/>
            </w:pPr>
            <w:r>
              <w:t xml:space="preserve">Design Development &amp; Coordination</w:t>
            </w:r>
          </w:p>
        </w:tc>
        <w:tc>
          <w:tcPr/>
          <w:p>
            <w:pPr>
              <w:pStyle w:val="Compact"/>
              <w:jc w:val="left"/>
            </w:pPr>
            <w:r>
              <w:t xml:space="preserve">8 weeks</w:t>
            </w:r>
          </w:p>
        </w:tc>
        <w:tc>
          <w:tcPr/>
          <w:p>
            <w:pPr>
              <w:pStyle w:val="Compact"/>
              <w:jc w:val="left"/>
            </w:pPr>
            <w:r>
              <w:t xml:space="preserve">Lump Sum</w:t>
            </w:r>
          </w:p>
        </w:tc>
        <w:tc>
          <w:tcPr/>
          <w:p>
            <w:pPr>
              <w:pStyle w:val="Compact"/>
              <w:jc w:val="left"/>
            </w:pPr>
            <w:r>
              <w:t xml:space="preserve">175,000.00</w:t>
            </w:r>
          </w:p>
        </w:tc>
      </w:tr>
      <w:tr>
        <w:tc>
          <w:tcPr/>
          <w:p>
            <w:pPr>
              <w:pStyle w:val="Compact"/>
              <w:jc w:val="left"/>
            </w:pPr>
            <w:r>
              <w:t xml:space="preserve">4</w:t>
            </w:r>
          </w:p>
        </w:tc>
        <w:tc>
          <w:tcPr/>
          <w:p>
            <w:pPr>
              <w:pStyle w:val="Compact"/>
              <w:jc w:val="left"/>
            </w:pPr>
            <w:r>
              <w:t xml:space="preserve">Construction Documentation &amp; Specifications</w:t>
            </w:r>
          </w:p>
        </w:tc>
        <w:tc>
          <w:tcPr/>
          <w:p>
            <w:pPr>
              <w:pStyle w:val="Compact"/>
              <w:jc w:val="left"/>
            </w:pPr>
            <w:r>
              <w:t xml:space="preserve">10 weeks</w:t>
            </w:r>
          </w:p>
        </w:tc>
        <w:tc>
          <w:tcPr/>
          <w:p>
            <w:pPr>
              <w:pStyle w:val="Compact"/>
              <w:jc w:val="left"/>
            </w:pPr>
            <w:r>
              <w:t xml:space="preserve">Lump Sum</w:t>
            </w:r>
          </w:p>
        </w:tc>
        <w:tc>
          <w:tcPr/>
          <w:p>
            <w:pPr>
              <w:pStyle w:val="Compact"/>
              <w:jc w:val="left"/>
            </w:pPr>
            <w:r>
              <w:t xml:space="preserve">210,000.00</w:t>
            </w:r>
          </w:p>
        </w:tc>
      </w:tr>
      <w:tr>
        <w:tc>
          <w:tcPr/>
          <w:p>
            <w:pPr>
              <w:pStyle w:val="Compact"/>
              <w:jc w:val="left"/>
            </w:pPr>
            <w:r>
              <w:t xml:space="preserve">5</w:t>
            </w:r>
          </w:p>
        </w:tc>
        <w:tc>
          <w:tcPr/>
          <w:p>
            <w:pPr>
              <w:pStyle w:val="Compact"/>
              <w:jc w:val="left"/>
            </w:pPr>
            <w:r>
              <w:t xml:space="preserve">Municipality Submittals &amp; Permit Approvals (Jeddah)</w:t>
            </w:r>
          </w:p>
        </w:tc>
        <w:tc>
          <w:tcPr/>
          <w:p>
            <w:pPr>
              <w:pStyle w:val="Compact"/>
              <w:jc w:val="left"/>
            </w:pPr>
            <w:r>
              <w:t xml:space="preserve">6 weeks</w:t>
            </w:r>
          </w:p>
        </w:tc>
        <w:tc>
          <w:tcPr/>
          <w:p>
            <w:pPr>
              <w:pStyle w:val="Compact"/>
              <w:jc w:val="left"/>
            </w:pPr>
            <w:r>
              <w:t xml:space="preserve">Lump Sum</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Construction Phase Architect Supervision (12 months)</w:t>
            </w:r>
          </w:p>
        </w:tc>
        <w:tc>
          <w:tcPr/>
          <w:p>
            <w:pPr>
              <w:pStyle w:val="Compact"/>
              <w:jc w:val="left"/>
            </w:pPr>
            <w:r>
              <w:t xml:space="preserve">12 months</w:t>
            </w:r>
          </w:p>
        </w:tc>
        <w:tc>
          <w:tcPr/>
          <w:p>
            <w:pPr>
              <w:pStyle w:val="Compact"/>
              <w:jc w:val="left"/>
            </w:pPr>
            <w:r>
              <w:t xml:space="preserve">Monthly</w:t>
            </w:r>
          </w:p>
        </w:tc>
        <w:tc>
          <w:tcPr/>
          <w:p>
            <w:pPr>
              <w:pStyle w:val="Compact"/>
              <w:jc w:val="left"/>
            </w:pPr>
            <w:r>
              <w:t xml:space="preserve">360,000.00</w:t>
            </w:r>
          </w:p>
        </w:tc>
      </w:tr>
      <w:tr>
        <w:tc>
          <w:tcPr/>
          <w:p>
            <w:pPr>
              <w:pStyle w:val="Compact"/>
              <w:jc w:val="left"/>
            </w:pPr>
            <w:r>
              <w:t xml:space="preserve">7</w:t>
            </w:r>
          </w:p>
        </w:tc>
        <w:tc>
          <w:tcPr/>
          <w:p>
            <w:pPr>
              <w:pStyle w:val="Compact"/>
              <w:jc w:val="left"/>
            </w:pPr>
            <w:r>
              <w:t xml:space="preserve">As-Built Documentation &amp; Handover</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35,000.00</w:t>
            </w:r>
          </w:p>
        </w:tc>
      </w:tr>
      <w:tr>
        <w:tc>
          <w:tcPr>
            <w:gridSpan w:val="4"/>
          </w:tcPr>
          <w:p>
            <w:pPr>
              <w:pStyle w:val="Compact"/>
              <w:jc w:val="left"/>
            </w:pPr>
            <w:r>
              <w:t xml:space="preserve">Subtotal</w:t>
            </w:r>
          </w:p>
        </w:tc>
        <w:tc>
          <w:tcPr/>
          <w:p>
            <w:pPr>
              <w:pStyle w:val="Compact"/>
              <w:jc w:val="left"/>
            </w:pPr>
            <w:r>
              <w:t xml:space="preserve">1,030,000.00</w:t>
            </w:r>
          </w:p>
        </w:tc>
      </w:tr>
      <w:tr>
        <w:tc>
          <w:tcPr>
            <w:gridSpan w:val="4"/>
          </w:tcPr>
          <w:p>
            <w:pPr>
              <w:pStyle w:val="Compact"/>
              <w:jc w:val="left"/>
            </w:pPr>
            <w:r>
              <w:t xml:space="preserve">VAT (15%)</w:t>
            </w:r>
          </w:p>
        </w:tc>
        <w:tc>
          <w:tcPr/>
          <w:p>
            <w:pPr>
              <w:pStyle w:val="Compact"/>
              <w:jc w:val="left"/>
            </w:pPr>
            <w:r>
              <w:t xml:space="preserve">154,500.00</w:t>
            </w:r>
          </w:p>
        </w:tc>
      </w:tr>
      <w:tr>
        <w:tc>
          <w:tcPr>
            <w:gridSpan w:val="4"/>
          </w:tcPr>
          <w:p>
            <w:pPr>
              <w:pStyle w:val="Compact"/>
              <w:jc w:val="left"/>
            </w:pPr>
            <w:r>
              <w:t xml:space="preserve">TOTAL QUOTATION ESTIMATE AMOUNT</w:t>
            </w:r>
          </w:p>
        </w:tc>
        <w:tc>
          <w:tcPr/>
          <w:p>
            <w:pPr>
              <w:pStyle w:val="Compact"/>
              <w:jc w:val="left"/>
            </w:pPr>
            <w:r>
              <w:t xml:space="preserve">1,184,500.00</w:t>
            </w:r>
          </w:p>
        </w:tc>
      </w:tr>
    </w:tbl>
    <w:p>
      <w:pPr>
        <w:pStyle w:val="BodyText"/>
      </w:pPr>
      <w:r>
        <w:t xml:space="preserve">All amounts are quoted in Saudi Riyals (SAR). The total Quotation Estimate amount of SAR 1,184,500.00 is inclusive of 15% Value Added Tax as mandated by the Zakat, Tax and Customs Authority (ZATCA) of Saudi Arabia.</w:t>
      </w:r>
    </w:p>
    <w:bookmarkEnd w:id="24"/>
    <w:bookmarkStart w:id="25" w:name="payment-schedule"/>
    <w:p>
      <w:pPr>
        <w:pStyle w:val="Heading3"/>
      </w:pPr>
      <w:r>
        <w:t xml:space="preserve">4.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(SAR)</w:t>
            </w:r>
          </w:p>
        </w:tc>
      </w:tr>
      <w:tr>
        <w:tc>
          <w:tcPr/>
          <w:p>
            <w:pPr>
              <w:pStyle w:val="Compact"/>
              <w:jc w:val="left"/>
            </w:pPr>
            <w:r>
              <w:t xml:space="preserve">Upon signing of the Architect services agreement</w:t>
            </w:r>
          </w:p>
        </w:tc>
        <w:tc>
          <w:tcPr/>
          <w:p>
            <w:pPr>
              <w:pStyle w:val="Compact"/>
              <w:jc w:val="left"/>
            </w:pPr>
            <w:r>
              <w:t xml:space="preserve">20%</w:t>
            </w:r>
          </w:p>
        </w:tc>
        <w:tc>
          <w:tcPr/>
          <w:p>
            <w:pPr>
              <w:pStyle w:val="Compact"/>
              <w:jc w:val="left"/>
            </w:pPr>
            <w:r>
              <w:t xml:space="preserve">236,900.00</w:t>
            </w:r>
          </w:p>
        </w:tc>
      </w:tr>
      <w:tr>
        <w:tc>
          <w:tcPr/>
          <w:p>
            <w:pPr>
              <w:pStyle w:val="Compact"/>
              <w:jc w:val="left"/>
            </w:pPr>
            <w:r>
              <w:t xml:space="preserve">Upon approval of Schematic Design</w:t>
            </w:r>
          </w:p>
        </w:tc>
        <w:tc>
          <w:tcPr/>
          <w:p>
            <w:pPr>
              <w:pStyle w:val="Compact"/>
              <w:jc w:val="left"/>
            </w:pPr>
            <w:r>
              <w:t xml:space="preserve">20%</w:t>
            </w:r>
          </w:p>
        </w:tc>
        <w:tc>
          <w:tcPr/>
          <w:p>
            <w:pPr>
              <w:pStyle w:val="Compact"/>
              <w:jc w:val="left"/>
            </w:pPr>
            <w:r>
              <w:t xml:space="preserve">236,900.00</w:t>
            </w:r>
          </w:p>
        </w:tc>
      </w:tr>
      <w:tr>
        <w:tc>
          <w:tcPr/>
          <w:p>
            <w:pPr>
              <w:pStyle w:val="Compact"/>
              <w:jc w:val="left"/>
            </w:pPr>
            <w:r>
              <w:t xml:space="preserve">Upon approval of Construction Documentation</w:t>
            </w:r>
          </w:p>
        </w:tc>
        <w:tc>
          <w:tcPr/>
          <w:p>
            <w:pPr>
              <w:pStyle w:val="Compact"/>
              <w:jc w:val="left"/>
            </w:pPr>
            <w:r>
              <w:t xml:space="preserve">30%</w:t>
            </w:r>
          </w:p>
        </w:tc>
        <w:tc>
          <w:tcPr/>
          <w:p>
            <w:pPr>
              <w:pStyle w:val="Compact"/>
              <w:jc w:val="left"/>
            </w:pPr>
            <w:r>
              <w:t xml:space="preserve">355,350.00</w:t>
            </w:r>
          </w:p>
        </w:tc>
      </w:tr>
      <w:tr>
        <w:tc>
          <w:tcPr/>
          <w:p>
            <w:pPr>
              <w:pStyle w:val="Compact"/>
              <w:jc w:val="left"/>
            </w:pPr>
            <w:r>
              <w:t xml:space="preserve">Monthly during Construction Phase</w:t>
            </w:r>
          </w:p>
        </w:tc>
        <w:tc>
          <w:tcPr/>
          <w:p>
            <w:pPr>
              <w:pStyle w:val="Compact"/>
              <w:jc w:val="left"/>
            </w:pPr>
            <w:r>
              <w:t xml:space="preserve">25%</w:t>
            </w:r>
          </w:p>
        </w:tc>
        <w:tc>
          <w:tcPr/>
          <w:p>
            <w:pPr>
              <w:pStyle w:val="Compact"/>
              <w:jc w:val="left"/>
            </w:pPr>
            <w:r>
              <w:t xml:space="preserve">296,125.00</w:t>
            </w:r>
          </w:p>
        </w:tc>
      </w:tr>
      <w:tr>
        <w:tc>
          <w:tcPr/>
          <w:p>
            <w:pPr>
              <w:pStyle w:val="Compact"/>
              <w:jc w:val="left"/>
            </w:pPr>
            <w:r>
              <w:t xml:space="preserve">Upon project handover and As-Built submission</w:t>
            </w:r>
          </w:p>
        </w:tc>
        <w:tc>
          <w:tcPr/>
          <w:p>
            <w:pPr>
              <w:pStyle w:val="Compact"/>
              <w:jc w:val="left"/>
            </w:pPr>
            <w:r>
              <w:t xml:space="preserve">5%</w:t>
            </w:r>
          </w:p>
        </w:tc>
        <w:tc>
          <w:tcPr/>
          <w:p>
            <w:pPr>
              <w:pStyle w:val="Compact"/>
              <w:jc w:val="left"/>
            </w:pPr>
            <w:r>
              <w:t xml:space="preserve">59,225.00</w:t>
            </w:r>
          </w:p>
        </w:tc>
      </w:tr>
    </w:tbl>
    <w:bookmarkEnd w:id="25"/>
    <w:bookmarkStart w:id="26" w:name="terms-and-conditions"/>
    <w:p>
      <w:pPr>
        <w:pStyle w:val="Heading3"/>
      </w:pPr>
      <w:r>
        <w:t xml:space="preserve">5. Terms and Conditions</w:t>
      </w:r>
    </w:p>
    <w:p>
      <w:pPr>
        <w:numPr>
          <w:ilvl w:val="0"/>
          <w:numId w:val="1002"/>
        </w:numPr>
        <w:pStyle w:val="Compact"/>
      </w:pPr>
      <w:r>
        <w:t xml:space="preserve">This Quotation Estimate is valid for a period of thirty (30) calendar days from the date of issue. Beyond this period, the Architect firm reserves the right to revise pricing due to market fluctuations in Saudi Arabia Jeddah.</w:t>
      </w:r>
    </w:p>
    <w:p>
      <w:pPr>
        <w:numPr>
          <w:ilvl w:val="0"/>
          <w:numId w:val="1002"/>
        </w:numPr>
        <w:pStyle w:val="Compact"/>
      </w:pPr>
      <w:r>
        <w:t xml:space="preserve">All Architect services shall be performed in strict accordance with the Saudi Building Code, Jeddah Municipality bylaws, and the regulations of the Saudi Council of Engineers.</w:t>
      </w:r>
    </w:p>
    <w:p>
      <w:pPr>
        <w:numPr>
          <w:ilvl w:val="0"/>
          <w:numId w:val="1002"/>
        </w:numPr>
        <w:pStyle w:val="Compact"/>
      </w:pPr>
      <w:r>
        <w:t xml:space="preserve">The Architect firm shall not be liable for delays caused by third-party authorities, including but not limited to Jeddah Municipality processing times or governmental approval processes in Saudi Arabia Jeddah.</w:t>
      </w:r>
    </w:p>
    <w:p>
      <w:pPr>
        <w:numPr>
          <w:ilvl w:val="0"/>
          <w:numId w:val="1002"/>
        </w:numPr>
        <w:pStyle w:val="Compact"/>
      </w:pPr>
      <w:r>
        <w:t xml:space="preserve">Any changes to the scope of work beyond the original Quotation Estimate shall be subject to a written change order and additional cost assessment by the Architect team.</w:t>
      </w:r>
    </w:p>
    <w:p>
      <w:pPr>
        <w:numPr>
          <w:ilvl w:val="0"/>
          <w:numId w:val="1002"/>
        </w:numPr>
        <w:pStyle w:val="Compact"/>
      </w:pPr>
      <w:r>
        <w:t xml:space="preserve">The client agrees to provide timely access to the project site in Jeddah and all necessary information required for the Architect to perform services without interruption.</w:t>
      </w:r>
    </w:p>
    <w:p>
      <w:pPr>
        <w:numPr>
          <w:ilvl w:val="0"/>
          <w:numId w:val="1002"/>
        </w:numPr>
        <w:pStyle w:val="Compact"/>
      </w:pPr>
      <w:r>
        <w:t xml:space="preserve">Intellectual property of all design documents produced by the Architect remains with Al-Madina Architectural Design Studio until full payment of the Quotation Estimate amount is received.</w:t>
      </w:r>
    </w:p>
    <w:p>
      <w:pPr>
        <w:numPr>
          <w:ilvl w:val="0"/>
          <w:numId w:val="1002"/>
        </w:numPr>
        <w:pStyle w:val="Compact"/>
      </w:pPr>
      <w:r>
        <w:t xml:space="preserve">Disputes arising from this Quotation Estimate shall be resolved through arbitration in Jeddah, Saudi Arabia, in accordance with the Saudi Arbitration Center rules.</w:t>
      </w:r>
    </w:p>
    <w:p>
      <w:pPr>
        <w:numPr>
          <w:ilvl w:val="0"/>
          <w:numId w:val="1002"/>
        </w:numPr>
        <w:pStyle w:val="Compact"/>
      </w:pPr>
      <w:r>
        <w:t xml:space="preserve">The Architect firm maintains professional indemnity insurance coverage of not less than SAR 5,000,000, valid throughout the duration of the project.</w:t>
      </w:r>
    </w:p>
    <w:p>
      <w:pPr>
        <w:pStyle w:val="FirstParagraph"/>
      </w:pPr>
      <w:r>
        <w:rPr>
          <w:bCs/>
          <w:b/>
        </w:rPr>
        <w:t xml:space="preserve">Validity Notice:</w:t>
      </w:r>
      <w:r>
        <w:t xml:space="preserve"> </w:t>
      </w:r>
      <w:r>
        <w:t xml:space="preserve">This Quotation Estimate (Ref: QE-JED-2025-0487) is valid until 15 July 2025. The Architect services described herein are subject to availability of the designated project team. Please confirm acceptance within the validity period to secure the quoted rates for your project in Saudi Arabia Jeddah.</w:t>
      </w:r>
    </w:p>
    <w:bookmarkEnd w:id="26"/>
    <w:bookmarkStart w:id="27" w:name="acceptance-and-authorization"/>
    <w:p>
      <w:pPr>
        <w:pStyle w:val="Heading3"/>
      </w:pPr>
      <w:r>
        <w:t xml:space="preserve">6. Acceptance and Authorization</w:t>
      </w:r>
    </w:p>
    <w:p>
      <w:pPr>
        <w:pStyle w:val="FirstParagraph"/>
      </w:pPr>
      <w:r>
        <w:t xml:space="preserve">By signing below, the client acknowledges and accepts this Quotation Estimate for Architect services as presented. The Architect firm confirms its commitment to deliver all services in accordance with the scope, timeline, and quality standards outlined in this document for the project located in Saudi Arabia Jeddah.</w:t>
      </w:r>
    </w:p>
    <w:p>
      <w:pPr>
        <w:pStyle w:val="BodyText"/>
      </w:pPr>
      <w:r>
        <w:rPr>
          <w:bCs/>
          <w:b/>
        </w:rPr>
        <w:t xml:space="preserve">For: Al-Madina Architectural Design Studio</w:t>
      </w:r>
      <w:r>
        <w:br/>
      </w:r>
      <w:r>
        <w:t xml:space="preserve">Name: Eng. Sarah Al-Harbi, Lead Architect</w:t>
      </w:r>
      <w:r>
        <w:br/>
      </w:r>
      <w:r>
        <w:t xml:space="preserve">License No: SCE-2019-XXXXX</w:t>
      </w:r>
      <w:r>
        <w:br/>
      </w:r>
      <w:r>
        <w:t xml:space="preserve">Date: _______________</w:t>
      </w:r>
    </w:p>
    <w:p>
      <w:pPr>
        <w:pStyle w:val="BodyText"/>
      </w:pPr>
      <w:r>
        <w:rPr>
          <w:bCs/>
          <w:b/>
        </w:rPr>
        <w:t xml:space="preserve">For: Al-Otaibi Real Estate Development Co.</w:t>
      </w:r>
      <w:r>
        <w:br/>
      </w:r>
      <w:r>
        <w:t xml:space="preserve">Name: Mr. Khalid Al-Otaibi</w:t>
      </w:r>
      <w:r>
        <w:br/>
      </w:r>
      <w:r>
        <w:t xml:space="preserve">Title: Managing Director</w:t>
      </w:r>
      <w:r>
        <w:br/>
      </w:r>
      <w:r>
        <w:t xml:space="preserve">Date: _______________</w:t>
      </w:r>
    </w:p>
    <w:p>
      <w:pPr>
        <w:pStyle w:val="BodyText"/>
      </w:pPr>
      <w:r>
        <w:t xml:space="preserve">This Quotation Estimate document was prepared by Al-Madina Architectural Design Studio, Jeddah, Saudi Arabia. Page 1 of 1. All rights reserved. ©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Saudi Arabia Jeddah</dc:title>
  <dc:creator/>
  <dc:language>en</dc:language>
  <cp:keywords/>
  <dcterms:created xsi:type="dcterms:W3CDTF">2026-10-10T03:38:11Z</dcterms:created>
  <dcterms:modified xsi:type="dcterms:W3CDTF">2026-10-10T03:38:11Z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