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Professional Architect Services — South Korea Seoul</w:t>
      </w:r>
    </w:p>
    <w:p>
      <w:pPr>
        <w:pStyle w:val="BodyText"/>
      </w:pPr>
      <w:r>
        <w:t xml:space="preserve">Document Reference: QE-SEOUL-2025-0417 | Classification: Commercial</w:t>
      </w:r>
    </w:p>
    <w:bookmarkEnd w:id="20"/>
    <w:p>
      <w:pPr>
        <w:pStyle w:val="BodyText"/>
      </w:pPr>
      <w:r>
        <w:rPr>
          <w:bCs/>
          <w:b/>
        </w:rPr>
        <w:t xml:space="preserve">Quotation Estimate No.:</w:t>
      </w:r>
      <w:r>
        <w:t xml:space="preserve"> </w:t>
      </w:r>
      <w:r>
        <w:t xml:space="preserve">QE-SEOUL-2025-0417</w:t>
      </w:r>
      <w:r>
        <w:br/>
      </w:r>
      <w:r>
        <w:rPr>
          <w:bCs/>
          <w:b/>
        </w:rPr>
        <w:t xml:space="preserve">Date of Issue:</w:t>
      </w:r>
      <w:r>
        <w:t xml:space="preserve"> </w:t>
      </w:r>
      <w:r>
        <w:t xml:space="preserve">17 June 2025</w:t>
      </w:r>
      <w:r>
        <w:br/>
      </w:r>
      <w:r>
        <w:rPr>
          <w:bCs/>
          <w:b/>
        </w:rPr>
        <w:t xml:space="preserve">Valid Until:</w:t>
      </w:r>
      <w:r>
        <w:t xml:space="preserve"> </w:t>
      </w:r>
      <w:r>
        <w:t xml:space="preserve">17 July 2025</w:t>
      </w:r>
    </w:p>
    <w:p>
      <w:pPr>
        <w:pStyle w:val="BodyText"/>
      </w:pPr>
      <w:r>
        <w:rPr>
          <w:bCs/>
          <w:b/>
        </w:rPr>
        <w:t xml:space="preserve">Prepared By:</w:t>
      </w:r>
      <w:r>
        <w:t xml:space="preserve"> </w:t>
      </w:r>
      <w:r>
        <w:t xml:space="preserve">Han River Architectural Studio</w:t>
      </w:r>
      <w:r>
        <w:br/>
      </w:r>
      <w:r>
        <w:rPr>
          <w:bCs/>
          <w:b/>
        </w:rPr>
        <w:t xml:space="preserve">Address:</w:t>
      </w:r>
      <w:r>
        <w:t xml:space="preserve"> </w:t>
      </w:r>
      <w:r>
        <w:t xml:space="preserve">12, Sejong-daero 119-gil, Jung-gu, Seoul, South Korea</w:t>
      </w:r>
      <w:r>
        <w:br/>
      </w:r>
      <w:r>
        <w:rPr>
          <w:bCs/>
          <w:b/>
        </w:rPr>
        <w:t xml:space="preserve">Contact:</w:t>
      </w:r>
      <w:r>
        <w:t xml:space="preserve"> </w:t>
      </w:r>
      <w:r>
        <w:t xml:space="preserve">+82-2-741-8830 | info@hanriverarch.kr</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Seoul Metropolitan Development Corp.</w:t>
            </w:r>
          </w:p>
        </w:tc>
      </w:tr>
      <w:tr>
        <w:tc>
          <w:tcPr/>
          <w:p>
            <w:pPr>
              <w:pStyle w:val="Compact"/>
              <w:jc w:val="left"/>
            </w:pPr>
            <w:r>
              <w:t xml:space="preserve">Representative</w:t>
            </w:r>
          </w:p>
        </w:tc>
        <w:tc>
          <w:tcPr/>
          <w:p>
            <w:pPr>
              <w:pStyle w:val="Compact"/>
              <w:jc w:val="left"/>
            </w:pPr>
            <w:r>
              <w:t xml:space="preserve">Mr. Park Ji-hoon, Chief Project Officer</w:t>
            </w:r>
          </w:p>
        </w:tc>
      </w:tr>
      <w:tr>
        <w:tc>
          <w:tcPr/>
          <w:p>
            <w:pPr>
              <w:pStyle w:val="Compact"/>
              <w:jc w:val="left"/>
            </w:pPr>
            <w:r>
              <w:t xml:space="preserve">Client Address</w:t>
            </w:r>
          </w:p>
        </w:tc>
        <w:tc>
          <w:tcPr/>
          <w:p>
            <w:pPr>
              <w:pStyle w:val="Compact"/>
              <w:jc w:val="left"/>
            </w:pPr>
            <w:r>
              <w:t xml:space="preserve">45, Teheran-ro, Gangnam-gu, Seoul, South Korea</w:t>
            </w:r>
          </w:p>
        </w:tc>
      </w:tr>
      <w:tr>
        <w:tc>
          <w:tcPr/>
          <w:p>
            <w:pPr>
              <w:pStyle w:val="Compact"/>
              <w:jc w:val="left"/>
            </w:pPr>
            <w:r>
              <w:t xml:space="preserve">Project Location</w:t>
            </w:r>
          </w:p>
        </w:tc>
        <w:tc>
          <w:tcPr/>
          <w:p>
            <w:pPr>
              <w:pStyle w:val="Compact"/>
              <w:jc w:val="left"/>
            </w:pPr>
            <w:r>
              <w:t xml:space="preserve">Mapo-gu District, Seoul, South Korea</w:t>
            </w:r>
          </w:p>
        </w:tc>
      </w:tr>
      <w:tr>
        <w:tc>
          <w:tcPr/>
          <w:p>
            <w:pPr>
              <w:pStyle w:val="Compact"/>
              <w:jc w:val="left"/>
            </w:pPr>
            <w:r>
              <w:t xml:space="preserve">Project Type</w:t>
            </w:r>
          </w:p>
        </w:tc>
        <w:tc>
          <w:tcPr/>
          <w:p>
            <w:pPr>
              <w:pStyle w:val="Compact"/>
              <w:jc w:val="left"/>
            </w:pPr>
            <w:r>
              <w:t xml:space="preserve">Residential &amp; Mixed-Use Complex (12 Storeys)</w:t>
            </w:r>
          </w:p>
        </w:tc>
      </w:tr>
    </w:tbl>
    <w:bookmarkEnd w:id="21"/>
    <w:bookmarkStart w:id="22" w:name="scope-of-architect-services"/>
    <w:p>
      <w:pPr>
        <w:pStyle w:val="Heading2"/>
      </w:pPr>
      <w:r>
        <w:t xml:space="preserve">2. Scope of Architect Services</w:t>
      </w:r>
    </w:p>
    <w:p>
      <w:pPr>
        <w:pStyle w:val="FirstParagraph"/>
      </w:pPr>
      <w:r>
        <w:t xml:space="preserve">This Quotation Estimate is issued by Han River Architectural Studio in response to the formal request from Seoul Metropolitan Development Corp. for comprehensive Architect services for the proposed residential and mixed-use development project located in Mapo-gu, Seoul, South Korea. The scope of work encompasses all phases of architectural design, regulatory compliance, and construction documentation required under the Building Act of the Republic of Korea and the Seoul Metropolitan Government Building Standards.</w:t>
      </w:r>
    </w:p>
    <w:p>
      <w:pPr>
        <w:pStyle w:val="BodyText"/>
      </w:pPr>
      <w:r>
        <w:t xml:space="preserve">The Architect team will be led by a licensed Architect registered with the Korea Institute of Architects (KIA) and will coordinate with structural engineers, MEP consultants, landscape designers, and interior specialists as required for the full delivery of the project in South Korea Seoul.</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Rate (KRW)</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Feasibility Study &amp; Site Analysis (Seoul zoning, topography, environmental assessment)</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Concept Design &amp; Schematic Design (3D massing, material palette, urban context study)</w:t>
            </w:r>
          </w:p>
        </w:tc>
        <w:tc>
          <w:tcPr/>
          <w:p>
            <w:pPr>
              <w:pStyle w:val="Compact"/>
              <w:jc w:val="left"/>
            </w:pPr>
            <w:r>
              <w:t xml:space="preserve">8 weeks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42,000,000</w:t>
            </w:r>
          </w:p>
        </w:tc>
      </w:tr>
      <w:tr>
        <w:tc>
          <w:tcPr/>
          <w:p>
            <w:pPr>
              <w:pStyle w:val="Compact"/>
              <w:jc w:val="left"/>
            </w:pPr>
            <w:r>
              <w:t xml:space="preserve">3</w:t>
            </w:r>
          </w:p>
        </w:tc>
        <w:tc>
          <w:tcPr/>
          <w:p>
            <w:pPr>
              <w:pStyle w:val="Compact"/>
              <w:jc w:val="left"/>
            </w:pPr>
            <w:r>
              <w:t xml:space="preserve">Detailed Design &amp; Construction Drawings (full set per Seoul Building Code)</w:t>
            </w:r>
          </w:p>
        </w:tc>
        <w:tc>
          <w:tcPr/>
          <w:p>
            <w:pPr>
              <w:pStyle w:val="Compact"/>
              <w:jc w:val="left"/>
            </w:pPr>
            <w:r>
              <w:t xml:space="preserve">12 weeks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68,000,000</w:t>
            </w:r>
          </w:p>
        </w:tc>
      </w:tr>
      <w:tr>
        <w:tc>
          <w:tcPr/>
          <w:p>
            <w:pPr>
              <w:pStyle w:val="Compact"/>
              <w:jc w:val="left"/>
            </w:pPr>
            <w:r>
              <w:t xml:space="preserve">4</w:t>
            </w:r>
          </w:p>
        </w:tc>
        <w:tc>
          <w:tcPr/>
          <w:p>
            <w:pPr>
              <w:pStyle w:val="Compact"/>
              <w:jc w:val="left"/>
            </w:pPr>
            <w:r>
              <w:t xml:space="preserve">Permit Application &amp; Regulatory Liaison (Seoul City Hall, Mapo-gu Office)</w:t>
            </w:r>
          </w:p>
        </w:tc>
        <w:tc>
          <w:tcPr/>
          <w:p>
            <w:pPr>
              <w:pStyle w:val="Compact"/>
              <w:jc w:val="left"/>
            </w:pPr>
            <w:r>
              <w:t xml:space="preserve">6 weeks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22,000,000</w:t>
            </w:r>
          </w:p>
        </w:tc>
      </w:tr>
      <w:tr>
        <w:tc>
          <w:tcPr/>
          <w:p>
            <w:pPr>
              <w:pStyle w:val="Compact"/>
              <w:jc w:val="left"/>
            </w:pPr>
            <w:r>
              <w:t xml:space="preserve">5</w:t>
            </w:r>
          </w:p>
        </w:tc>
        <w:tc>
          <w:tcPr/>
          <w:p>
            <w:pPr>
              <w:pStyle w:val="Compact"/>
              <w:jc w:val="left"/>
            </w:pPr>
            <w:r>
              <w:t xml:space="preserve">Construction Phase Architect Supervision &amp; Site Visits</w:t>
            </w:r>
          </w:p>
        </w:tc>
        <w:tc>
          <w:tcPr/>
          <w:p>
            <w:pPr>
              <w:pStyle w:val="Compact"/>
              <w:jc w:val="left"/>
            </w:pPr>
            <w:r>
              <w:t xml:space="preserve">18 months</w:t>
            </w:r>
          </w:p>
        </w:tc>
        <w:tc>
          <w:tcPr/>
          <w:p>
            <w:pPr>
              <w:pStyle w:val="Compact"/>
              <w:jc w:val="left"/>
            </w:pPr>
            <w:r>
              <w:t xml:space="preserve">Monthly</w:t>
            </w:r>
          </w:p>
        </w:tc>
        <w:tc>
          <w:tcPr/>
          <w:p>
            <w:pPr>
              <w:pStyle w:val="Compact"/>
              <w:jc w:val="left"/>
            </w:pPr>
            <w:r>
              <w:t xml:space="preserve">8,500,000</w:t>
            </w:r>
          </w:p>
        </w:tc>
        <w:tc>
          <w:tcPr/>
          <w:p>
            <w:pPr>
              <w:pStyle w:val="Compact"/>
              <w:jc w:val="left"/>
            </w:pPr>
            <w:r>
              <w:t xml:space="preserve">153,000,000</w:t>
            </w:r>
          </w:p>
        </w:tc>
      </w:tr>
      <w:tr>
        <w:tc>
          <w:tcPr/>
          <w:p>
            <w:pPr>
              <w:pStyle w:val="Compact"/>
              <w:jc w:val="left"/>
            </w:pPr>
            <w:r>
              <w:t xml:space="preserve">6</w:t>
            </w:r>
          </w:p>
        </w:tc>
        <w:tc>
          <w:tcPr/>
          <w:p>
            <w:pPr>
              <w:pStyle w:val="Compact"/>
              <w:jc w:val="left"/>
            </w:pPr>
            <w:r>
              <w:t xml:space="preserve">Interior Design Coordination &amp; FF&amp;E Specification</w:t>
            </w:r>
          </w:p>
        </w:tc>
        <w:tc>
          <w:tcPr/>
          <w:p>
            <w:pPr>
              <w:pStyle w:val="Compact"/>
              <w:jc w:val="left"/>
            </w:pPr>
            <w:r>
              <w:t xml:space="preserve">10 weeks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35,000,000</w:t>
            </w:r>
          </w:p>
        </w:tc>
      </w:tr>
      <w:tr>
        <w:tc>
          <w:tcPr/>
          <w:p>
            <w:pPr>
              <w:pStyle w:val="Compact"/>
              <w:jc w:val="left"/>
            </w:pPr>
            <w:r>
              <w:t xml:space="preserve">7</w:t>
            </w:r>
          </w:p>
        </w:tc>
        <w:tc>
          <w:tcPr/>
          <w:p>
            <w:pPr>
              <w:pStyle w:val="Compact"/>
              <w:jc w:val="left"/>
            </w:pPr>
            <w:r>
              <w:t xml:space="preserve">Landscape &amp; Exterior Environment Design (Seoul climate-responsive)</w:t>
            </w:r>
          </w:p>
        </w:tc>
        <w:tc>
          <w:tcPr/>
          <w:p>
            <w:pPr>
              <w:pStyle w:val="Compact"/>
              <w:jc w:val="left"/>
            </w:pPr>
            <w:r>
              <w:t xml:space="preserve">6 weeks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28,000,000</w:t>
            </w:r>
          </w:p>
        </w:tc>
      </w:tr>
      <w:tr>
        <w:tc>
          <w:tcPr/>
          <w:p>
            <w:pPr>
              <w:pStyle w:val="Compact"/>
              <w:jc w:val="left"/>
            </w:pPr>
            <w:r>
              <w:t xml:space="preserve">8</w:t>
            </w:r>
          </w:p>
        </w:tc>
        <w:tc>
          <w:tcPr/>
          <w:p>
            <w:pPr>
              <w:pStyle w:val="Compact"/>
              <w:jc w:val="left"/>
            </w:pPr>
            <w:r>
              <w:t xml:space="preserve">As-Built Documentation &amp; Handover Package</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12,000,000</w:t>
            </w:r>
          </w:p>
        </w:tc>
      </w:tr>
      <w:tr>
        <w:tc>
          <w:tcPr>
            <w:gridSpan w:val="5"/>
          </w:tcPr>
          <w:p>
            <w:pPr>
              <w:pStyle w:val="Compact"/>
              <w:jc w:val="right"/>
            </w:pPr>
            <w:r>
              <w:t xml:space="preserve">Subtotal (KRW)</w:t>
            </w:r>
          </w:p>
        </w:tc>
        <w:tc>
          <w:tcPr/>
          <w:p>
            <w:pPr>
              <w:pStyle w:val="Compact"/>
              <w:jc w:val="left"/>
            </w:pPr>
            <w:r>
              <w:t xml:space="preserve">378,500,000</w:t>
            </w:r>
          </w:p>
        </w:tc>
      </w:tr>
      <w:tr>
        <w:tc>
          <w:tcPr>
            <w:gridSpan w:val="5"/>
          </w:tcPr>
          <w:p>
            <w:pPr>
              <w:pStyle w:val="Compact"/>
              <w:jc w:val="right"/>
            </w:pPr>
            <w:r>
              <w:t xml:space="preserve">VAT (10% — South Korea Standard Rate)</w:t>
            </w:r>
          </w:p>
        </w:tc>
        <w:tc>
          <w:tcPr/>
          <w:p>
            <w:pPr>
              <w:pStyle w:val="Compact"/>
              <w:jc w:val="left"/>
            </w:pPr>
            <w:r>
              <w:t xml:space="preserve">37,850,000</w:t>
            </w:r>
          </w:p>
        </w:tc>
      </w:tr>
      <w:tr>
        <w:tc>
          <w:tcPr>
            <w:gridSpan w:val="5"/>
          </w:tcPr>
          <w:p>
            <w:pPr>
              <w:pStyle w:val="Compact"/>
              <w:jc w:val="right"/>
            </w:pPr>
            <w:r>
              <w:t xml:space="preserve">TOTAL QUOTATION ESTIMATE (KRW)</w:t>
            </w:r>
          </w:p>
        </w:tc>
        <w:tc>
          <w:tcPr/>
          <w:p>
            <w:pPr>
              <w:pStyle w:val="Compact"/>
              <w:jc w:val="left"/>
            </w:pPr>
            <w:r>
              <w:t xml:space="preserve">416,350,000</w:t>
            </w:r>
          </w:p>
        </w:tc>
      </w:tr>
    </w:tbl>
    <w:p>
      <w:pPr>
        <w:pStyle w:val="BodyText"/>
      </w:pPr>
      <w:r>
        <w:t xml:space="preserve">* All amounts are denominated in Korean Won (KRW). Exchange rate reference at time of issue: 1 USD ≈ 1,340 KRW. Final settlement shall be in KRW via bank transfer to the account specified in Section 6.</w:t>
      </w:r>
    </w:p>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(KRW)</w:t>
            </w:r>
          </w:p>
        </w:tc>
        <w:tc>
          <w:tcPr/>
          <w:p>
            <w:pPr>
              <w:pStyle w:val="Compact"/>
              <w:jc w:val="left"/>
            </w:pPr>
            <w:r>
              <w:t xml:space="preserve">Trigger</w:t>
            </w:r>
          </w:p>
        </w:tc>
      </w:tr>
      <w:tr>
        <w:tc>
          <w:tcPr/>
          <w:p>
            <w:pPr>
              <w:pStyle w:val="Compact"/>
              <w:jc w:val="left"/>
            </w:pPr>
            <w:r>
              <w:t xml:space="preserve">Contract Signing</w:t>
            </w:r>
          </w:p>
        </w:tc>
        <w:tc>
          <w:tcPr/>
          <w:p>
            <w:pPr>
              <w:pStyle w:val="Compact"/>
              <w:jc w:val="left"/>
            </w:pPr>
            <w:r>
              <w:t xml:space="preserve">15%</w:t>
            </w:r>
          </w:p>
        </w:tc>
        <w:tc>
          <w:tcPr/>
          <w:p>
            <w:pPr>
              <w:pStyle w:val="Compact"/>
              <w:jc w:val="left"/>
            </w:pPr>
            <w:r>
              <w:t xml:space="preserve">62,452,500</w:t>
            </w:r>
          </w:p>
        </w:tc>
        <w:tc>
          <w:tcPr/>
          <w:p>
            <w:pPr>
              <w:pStyle w:val="Compact"/>
              <w:jc w:val="left"/>
            </w:pPr>
            <w:r>
              <w:t xml:space="preserve">Upon execution of Architect Services Agreement</w:t>
            </w:r>
          </w:p>
        </w:tc>
      </w:tr>
      <w:tr>
        <w:tc>
          <w:tcPr/>
          <w:p>
            <w:pPr>
              <w:pStyle w:val="Compact"/>
              <w:jc w:val="left"/>
            </w:pPr>
            <w:r>
              <w:t xml:space="preserve">Concept Design Approval</w:t>
            </w:r>
          </w:p>
        </w:tc>
        <w:tc>
          <w:tcPr/>
          <w:p>
            <w:pPr>
              <w:pStyle w:val="Compact"/>
              <w:jc w:val="left"/>
            </w:pPr>
            <w:r>
              <w:t xml:space="preserve">20%</w:t>
            </w:r>
          </w:p>
        </w:tc>
        <w:tc>
          <w:tcPr/>
          <w:p>
            <w:pPr>
              <w:pStyle w:val="Compact"/>
              <w:jc w:val="left"/>
            </w:pPr>
            <w:r>
              <w:t xml:space="preserve">83,270,000</w:t>
            </w:r>
          </w:p>
        </w:tc>
        <w:tc>
          <w:tcPr/>
          <w:p>
            <w:pPr>
              <w:pStyle w:val="Compact"/>
              <w:jc w:val="left"/>
            </w:pPr>
            <w:r>
              <w:t xml:space="preserve">Client written approval of Schematic Design</w:t>
            </w:r>
          </w:p>
        </w:tc>
      </w:tr>
      <w:tr>
        <w:tc>
          <w:tcPr/>
          <w:p>
            <w:pPr>
              <w:pStyle w:val="Compact"/>
              <w:jc w:val="left"/>
            </w:pPr>
            <w:r>
              <w:t xml:space="preserve">Construction Drawings Issued</w:t>
            </w:r>
          </w:p>
        </w:tc>
        <w:tc>
          <w:tcPr/>
          <w:p>
            <w:pPr>
              <w:pStyle w:val="Compact"/>
              <w:jc w:val="left"/>
            </w:pPr>
            <w:r>
              <w:t xml:space="preserve">25%</w:t>
            </w:r>
          </w:p>
        </w:tc>
        <w:tc>
          <w:tcPr/>
          <w:p>
            <w:pPr>
              <w:pStyle w:val="Compact"/>
              <w:jc w:val="left"/>
            </w:pPr>
            <w:r>
              <w:t xml:space="preserve">104,087,500</w:t>
            </w:r>
          </w:p>
        </w:tc>
        <w:tc>
          <w:tcPr/>
          <w:p>
            <w:pPr>
              <w:pStyle w:val="Compact"/>
              <w:jc w:val="left"/>
            </w:pPr>
            <w:r>
              <w:t xml:space="preserve">Submission of full drawing set to Seoul permitting authority</w:t>
            </w:r>
          </w:p>
        </w:tc>
      </w:tr>
      <w:tr>
        <w:tc>
          <w:tcPr/>
          <w:p>
            <w:pPr>
              <w:pStyle w:val="Compact"/>
              <w:jc w:val="left"/>
            </w:pPr>
            <w:r>
              <w:t xml:space="preserve">Construction Phase (Monthly)</w:t>
            </w:r>
          </w:p>
        </w:tc>
        <w:tc>
          <w:tcPr/>
          <w:p>
            <w:pPr>
              <w:pStyle w:val="Compact"/>
              <w:jc w:val="left"/>
            </w:pPr>
            <w:r>
              <w:t xml:space="preserve">35%</w:t>
            </w:r>
          </w:p>
        </w:tc>
        <w:tc>
          <w:tcPr/>
          <w:p>
            <w:pPr>
              <w:pStyle w:val="Compact"/>
              <w:jc w:val="left"/>
            </w:pPr>
            <w:r>
              <w:t xml:space="preserve">145,722,500</w:t>
            </w:r>
          </w:p>
        </w:tc>
        <w:tc>
          <w:tcPr/>
          <w:p>
            <w:pPr>
              <w:pStyle w:val="Compact"/>
              <w:jc w:val="left"/>
            </w:pPr>
            <w:r>
              <w:t xml:space="preserve">18 monthly installments during construction</w:t>
            </w:r>
          </w:p>
        </w:tc>
      </w:tr>
      <w:tr>
        <w:tc>
          <w:tcPr/>
          <w:p>
            <w:pPr>
              <w:pStyle w:val="Compact"/>
              <w:jc w:val="left"/>
            </w:pPr>
            <w:r>
              <w:t xml:space="preserve">Project Handover</w:t>
            </w:r>
          </w:p>
        </w:tc>
        <w:tc>
          <w:tcPr/>
          <w:p>
            <w:pPr>
              <w:pStyle w:val="Compact"/>
              <w:jc w:val="left"/>
            </w:pPr>
            <w:r>
              <w:t xml:space="preserve">5%</w:t>
            </w:r>
          </w:p>
        </w:tc>
        <w:tc>
          <w:tcPr/>
          <w:p>
            <w:pPr>
              <w:pStyle w:val="Compact"/>
              <w:jc w:val="left"/>
            </w:pPr>
            <w:r>
              <w:t xml:space="preserve">20,817,500</w:t>
            </w:r>
          </w:p>
        </w:tc>
        <w:tc>
          <w:tcPr/>
          <w:p>
            <w:pPr>
              <w:pStyle w:val="Compact"/>
              <w:jc w:val="left"/>
            </w:pPr>
            <w:r>
              <w:t xml:space="preserve">Final As-Built documentation delivery</w:t>
            </w:r>
          </w:p>
        </w:tc>
      </w:tr>
    </w:tbl>
    <w:bookmarkEnd w:id="24"/>
    <w:bookmarkStart w:id="25" w:name="terms-conditions"/>
    <w:p>
      <w:pPr>
        <w:pStyle w:val="Heading2"/>
      </w:pPr>
      <w:r>
        <w:t xml:space="preserve">5. Terms &amp; Conditions</w:t>
      </w:r>
    </w:p>
    <w:p>
      <w:pPr>
        <w:numPr>
          <w:ilvl w:val="0"/>
          <w:numId w:val="1001"/>
        </w:numPr>
        <w:pStyle w:val="Compact"/>
      </w:pPr>
      <w:r>
        <w:t xml:space="preserve">This Quotation Estimate is valid for thirty (30) calendar days from the date of issue. After the expiry date, all rates and conditions are subject to revision without prior notice.</w:t>
      </w:r>
    </w:p>
    <w:p>
      <w:pPr>
        <w:numPr>
          <w:ilvl w:val="0"/>
          <w:numId w:val="1001"/>
        </w:numPr>
        <w:pStyle w:val="Compact"/>
      </w:pPr>
      <w:r>
        <w:t xml:space="preserve">The Architect services described herein are governed by the laws of the Republic of Korea, specifically the Architect Act (건축사법) and the Seoul Metropolitan Government regulations on building design and construction.</w:t>
      </w:r>
    </w:p>
    <w:p>
      <w:pPr>
        <w:numPr>
          <w:ilvl w:val="0"/>
          <w:numId w:val="1001"/>
        </w:numPr>
        <w:pStyle w:val="Compact"/>
      </w:pPr>
      <w:r>
        <w:t xml:space="preserve">All intellectual property rights in design documents, drawings, 3D models, and specifications produced by the Architect remain the property of Han River Architectural Studio until full payment is received. Upon final settlement, the client receives a perpetual, non-exclusive license to use the documents for the specific project in South Korea Seoul.</w:t>
      </w:r>
    </w:p>
    <w:p>
      <w:pPr>
        <w:numPr>
          <w:ilvl w:val="0"/>
          <w:numId w:val="1001"/>
        </w:numPr>
        <w:pStyle w:val="Compact"/>
      </w:pPr>
      <w:r>
        <w:t xml:space="preserve">Any changes to the scope of work, additional storeys, alterations to the building footprint, or changes in the project location within Seoul shall be subject to a supplementary Quotation Estimate issued by the Architect prior to commencement of the additional work.</w:t>
      </w:r>
    </w:p>
    <w:p>
      <w:pPr>
        <w:numPr>
          <w:ilvl w:val="0"/>
          <w:numId w:val="1001"/>
        </w:numPr>
        <w:pStyle w:val="Compact"/>
      </w:pPr>
      <w:r>
        <w:t xml:space="preserve">The Architect shall maintain professional indemnity insurance with a minimum coverage of KRW 500,000,000 throughout the duration of the engagement.</w:t>
      </w:r>
    </w:p>
    <w:p>
      <w:pPr>
        <w:numPr>
          <w:ilvl w:val="0"/>
          <w:numId w:val="1001"/>
        </w:numPr>
        <w:pStyle w:val="Compact"/>
      </w:pPr>
      <w:r>
        <w:t xml:space="preserve">Disputes arising from this Quotation Estimate or the subsequent Architect Services Agreement shall be resolved through mediation under the Korea Construction Dispute Mediation Center, and failing that, by arbitration in Seoul, South Korea.</w:t>
      </w:r>
    </w:p>
    <w:p>
      <w:pPr>
        <w:numPr>
          <w:ilvl w:val="0"/>
          <w:numId w:val="1001"/>
        </w:numPr>
        <w:pStyle w:val="Compact"/>
      </w:pPr>
      <w:r>
        <w:t xml:space="preserve">The Architect reserves the right to decline or withdraw from this Quotation Estimate if the project site is found to be subject to unresolved land-use restrictions, heritage preservation orders, or environmental contamination disclosures not previously communicated by the client.</w:t>
      </w:r>
    </w:p>
    <w:p>
      <w:pPr>
        <w:numPr>
          <w:ilvl w:val="0"/>
          <w:numId w:val="1001"/>
        </w:numPr>
        <w:pStyle w:val="Compact"/>
      </w:pPr>
      <w:r>
        <w:t xml:space="preserve">All communications, approvals, and change orders must be in writing (email acceptable) and signed by the authorized representative of the client.</w:t>
      </w:r>
    </w:p>
    <w:bookmarkEnd w:id="25"/>
    <w:bookmarkStart w:id="26" w:name="bank-remittance-details"/>
    <w:p>
      <w:pPr>
        <w:pStyle w:val="Heading2"/>
      </w:pPr>
      <w:r>
        <w:t xml:space="preserve">6. Bank &amp; Remittance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Account Holder</w:t>
            </w:r>
          </w:p>
        </w:tc>
        <w:tc>
          <w:tcPr/>
          <w:p>
            <w:pPr>
              <w:pStyle w:val="Compact"/>
              <w:jc w:val="left"/>
            </w:pPr>
            <w:r>
              <w:t xml:space="preserve">Han River Architectural Studio Co., Ltd.</w:t>
            </w:r>
          </w:p>
        </w:tc>
      </w:tr>
      <w:tr>
        <w:tc>
          <w:tcPr/>
          <w:p>
            <w:pPr>
              <w:pStyle w:val="Compact"/>
              <w:jc w:val="left"/>
            </w:pPr>
            <w:r>
              <w:rPr>
                <w:bCs/>
                <w:b/>
              </w:rPr>
              <w:t xml:space="preserve">Bank</w:t>
            </w:r>
          </w:p>
        </w:tc>
        <w:tc>
          <w:tcPr/>
          <w:p>
            <w:pPr>
              <w:pStyle w:val="Compact"/>
              <w:jc w:val="left"/>
            </w:pPr>
            <w:r>
              <w:t xml:space="preserve">Industrial Bank of Korea (IBK), Seoul Central Branch</w:t>
            </w:r>
          </w:p>
        </w:tc>
      </w:tr>
      <w:tr>
        <w:tc>
          <w:tcPr/>
          <w:p>
            <w:pPr>
              <w:pStyle w:val="Compact"/>
              <w:jc w:val="left"/>
            </w:pPr>
            <w:r>
              <w:rPr>
                <w:bCs/>
                <w:b/>
              </w:rPr>
              <w:t xml:space="preserve">Account No.</w:t>
            </w:r>
          </w:p>
        </w:tc>
        <w:tc>
          <w:tcPr/>
          <w:p>
            <w:pPr>
              <w:pStyle w:val="Compact"/>
              <w:jc w:val="left"/>
            </w:pPr>
            <w:r>
              <w:t xml:space="preserve">010-123-456789</w:t>
            </w:r>
          </w:p>
        </w:tc>
      </w:tr>
      <w:tr>
        <w:tc>
          <w:tcPr/>
          <w:p>
            <w:pPr>
              <w:pStyle w:val="Compact"/>
              <w:jc w:val="left"/>
            </w:pPr>
            <w:r>
              <w:rPr>
                <w:bCs/>
                <w:b/>
              </w:rPr>
              <w:t xml:space="preserve">SWIFT Code</w:t>
            </w:r>
          </w:p>
        </w:tc>
        <w:tc>
          <w:tcPr/>
          <w:p>
            <w:pPr>
              <w:pStyle w:val="Compact"/>
              <w:jc w:val="left"/>
            </w:pPr>
            <w:r>
              <w:t xml:space="preserve">IBKOKRSE</w:t>
            </w:r>
          </w:p>
        </w:tc>
      </w:tr>
    </w:tbl>
    <w:bookmarkEnd w:id="26"/>
    <w:p>
      <w:pPr>
        <w:pStyle w:val="BodyText"/>
      </w:pPr>
      <w:r>
        <w:rPr>
          <w:bCs/>
          <w:b/>
        </w:rPr>
        <w:t xml:space="preserve">For and on behalf of</w:t>
      </w:r>
      <w:r>
        <w:br/>
      </w:r>
      <w:r>
        <w:t xml:space="preserve">Han River Architectural Studio Co., Ltd.</w:t>
      </w:r>
    </w:p>
    <w:p>
      <w:pPr>
        <w:pStyle w:val="BodyText"/>
      </w:pPr>
      <w:r>
        <w:t xml:space="preserve">Name: Kim Soo-yeon, Principal Architect (KIA Reg. No. 2019-04521)</w:t>
      </w:r>
      <w:r>
        <w:br/>
      </w:r>
      <w:r>
        <w:t xml:space="preserve">Signature &amp; Company Seal</w:t>
      </w:r>
    </w:p>
    <w:p>
      <w:pPr>
        <w:pStyle w:val="BodyText"/>
      </w:pPr>
      <w:r>
        <w:rPr>
          <w:bCs/>
          <w:b/>
        </w:rPr>
        <w:t xml:space="preserve">Accepted by (Client)</w:t>
      </w:r>
      <w:r>
        <w:br/>
      </w:r>
      <w:r>
        <w:t xml:space="preserve">Seoul Metropolitan Development Corp.</w:t>
      </w:r>
    </w:p>
    <w:p>
      <w:pPr>
        <w:pStyle w:val="BodyText"/>
      </w:pPr>
      <w:r>
        <w:t xml:space="preserve">Name: Park Ji-hoon, Chief Project Officer</w:t>
      </w:r>
      <w:r>
        <w:br/>
      </w:r>
      <w:r>
        <w:t xml:space="preserve">Signature &amp; Company Seal</w:t>
      </w:r>
    </w:p>
    <w:p>
      <w:pPr>
        <w:pStyle w:val="BodyText"/>
      </w:pPr>
      <w:r>
        <w:t xml:space="preserve">This Quotation Estimate document was prepared exclusively for the client named herein and may not be reproduced, distributed, or used for any other project without the prior written consent of Han River Architectural Studio. © 2025 Han River Architectural Studio Co., Ltd. — Seoul, South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South Korea Seoul</dc:title>
  <dc:creator/>
  <dc:language>en</dc:language>
  <cp:keywords/>
  <dcterms:created xsi:type="dcterms:W3CDTF">2026-10-10T01:20:30Z</dcterms:created>
  <dcterms:modified xsi:type="dcterms:W3CDTF">2026-10-10T01:20:30Z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