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Architectural Services — Sudan Khartoum</w:t>
      </w:r>
    </w:p>
    <w:p>
      <w:pPr>
        <w:pStyle w:val="BodyText"/>
      </w:pPr>
      <w:r>
        <w:t xml:space="preserve">Ref: QE-ARCH-KRT-2025-0047 | Date: 15 June 2025</w:t>
      </w:r>
    </w:p>
    <w:bookmarkEnd w:id="20"/>
    <w:bookmarkStart w:id="21" w:name="prepared-by-architect"/>
    <w:p>
      <w:pPr>
        <w:pStyle w:val="Heading3"/>
      </w:pPr>
      <w:r>
        <w:t xml:space="preserve">Prepared By (Architect)</w:t>
      </w:r>
    </w:p>
    <w:p>
      <w:pPr>
        <w:pStyle w:val="FirstParagraph"/>
      </w:pPr>
      <w:r>
        <w:rPr>
          <w:bCs/>
          <w:b/>
        </w:rPr>
        <w:t xml:space="preserve">Studio Nubia Architectural Design</w:t>
      </w:r>
    </w:p>
    <w:p>
      <w:pPr>
        <w:pStyle w:val="BodyText"/>
      </w:pPr>
      <w:r>
        <w:t xml:space="preserve">Engineer Mahmoud El-Tayeb, RIBA Chartered Architect</w:t>
      </w:r>
    </w:p>
    <w:p>
      <w:pPr>
        <w:pStyle w:val="BodyText"/>
      </w:pPr>
      <w:r>
        <w:t xml:space="preserve">12 Al-Muraj Square, Omdurman</w:t>
      </w:r>
    </w:p>
    <w:p>
      <w:pPr>
        <w:pStyle w:val="BodyText"/>
      </w:pPr>
      <w:r>
        <w:t xml:space="preserve">Khartoum, Sudan</w:t>
      </w:r>
    </w:p>
    <w:p>
      <w:pPr>
        <w:pStyle w:val="BodyText"/>
      </w:pPr>
      <w:r>
        <w:t xml:space="preserve">Tel: +249-183-456-789</w:t>
      </w:r>
    </w:p>
    <w:p>
      <w:pPr>
        <w:pStyle w:val="BodyText"/>
      </w:pPr>
      <w:r>
        <w:t xml:space="preserve">Email: info@studionubia-sd.com</w:t>
      </w:r>
    </w:p>
    <w:bookmarkEnd w:id="21"/>
    <w:bookmarkStart w:id="22" w:name="prepared-for-client"/>
    <w:p>
      <w:pPr>
        <w:pStyle w:val="Heading3"/>
      </w:pPr>
      <w:r>
        <w:t xml:space="preserve">Prepared For (Client)</w:t>
      </w:r>
    </w:p>
    <w:p>
      <w:pPr>
        <w:pStyle w:val="FirstParagraph"/>
      </w:pPr>
      <w:r>
        <w:rPr>
          <w:bCs/>
          <w:b/>
        </w:rPr>
        <w:t xml:space="preserve">Al-Rashid Development Company Ltd.</w:t>
      </w:r>
    </w:p>
    <w:p>
      <w:pPr>
        <w:pStyle w:val="BodyText"/>
      </w:pPr>
      <w:r>
        <w:t xml:space="preserve">Attn: Mr. Ibrahim Al-Rashid, Managing Director</w:t>
      </w:r>
    </w:p>
    <w:p>
      <w:pPr>
        <w:pStyle w:val="BodyText"/>
      </w:pPr>
      <w:r>
        <w:t xml:space="preserve">45 Al-Nil Street, North Khartoum</w:t>
      </w:r>
    </w:p>
    <w:p>
      <w:pPr>
        <w:pStyle w:val="BodyText"/>
      </w:pPr>
      <w:r>
        <w:t xml:space="preserve">Khartoum, Sudan</w:t>
      </w:r>
    </w:p>
    <w:p>
      <w:pPr>
        <w:pStyle w:val="BodyText"/>
      </w:pPr>
      <w:r>
        <w:t xml:space="preserve">Tel: +249-189-234-567</w:t>
      </w:r>
    </w:p>
    <w:p>
      <w:pPr>
        <w:pStyle w:val="BodyText"/>
      </w:pPr>
      <w:r>
        <w:t xml:space="preserve">Email: projects@alrashid-dev.com</w:t>
      </w:r>
    </w:p>
    <w:bookmarkEnd w:id="22"/>
    <w:p>
      <w:pPr>
        <w:pStyle w:val="BodyText"/>
      </w:pPr>
      <w:r>
        <w:t xml:space="preserve">1. Project Overview &amp; Scope of Architectural Services</w:t>
      </w:r>
    </w:p>
    <w:p>
      <w:pPr>
        <w:pStyle w:val="BodyText"/>
      </w:pPr>
      <w:r>
        <w:t xml:space="preserve">This</w:t>
      </w:r>
      <w:r>
        <w:t xml:space="preserve"> </w:t>
      </w:r>
      <w:r>
        <w:t xml:space="preserve">Quotation Estimate</w:t>
      </w:r>
      <w:r>
        <w:t xml:space="preserve"> </w:t>
      </w:r>
      <w:r>
        <w:t xml:space="preserve">is issued by Studio Nubia Architectural Design, a registered</w:t>
      </w:r>
      <w:r>
        <w:t xml:space="preserve"> </w:t>
      </w:r>
      <w:r>
        <w:t xml:space="preserve">Architect</w:t>
      </w:r>
      <w:r>
        <w:t xml:space="preserve"> </w:t>
      </w:r>
      <w:r>
        <w:t xml:space="preserve">practice operating in</w:t>
      </w:r>
      <w:r>
        <w:t xml:space="preserve"> </w:t>
      </w:r>
      <w:r>
        <w:t xml:space="preserve">Sudan Khartoum</w:t>
      </w:r>
      <w:r>
        <w:t xml:space="preserve">, in response to the client's request for comprehensive architectural design and consultancy services. The project involves the design of a mixed-use commercial and residential complex comprising six (6) storeys, with a total built-up area of approximately 4,200 square metres, to be constructed on a 2,800 square metre plot located in the Al-Muraj district of Khartoum, Sudan.</w:t>
      </w:r>
    </w:p>
    <w:p>
      <w:pPr>
        <w:pStyle w:val="BodyText"/>
      </w:pPr>
      <w:r>
        <w:t xml:space="preserve">As the appointed</w:t>
      </w:r>
      <w:r>
        <w:t xml:space="preserve"> </w:t>
      </w:r>
      <w:r>
        <w:t xml:space="preserve">Architect</w:t>
      </w:r>
      <w:r>
        <w:t xml:space="preserve">, our firm shall deliver all design documentation, regulatory compliance drawings, and construction-phase supervision in accordance with the Sudanese Building Code, the Khartoum State Municipality regulations, and the standards set forth by the Sudanese Engineers Syndicate. This</w:t>
      </w:r>
      <w:r>
        <w:t xml:space="preserve"> </w:t>
      </w:r>
      <w:r>
        <w:t xml:space="preserve">Quotation Estimate</w:t>
      </w:r>
      <w:r>
        <w:t xml:space="preserve"> </w:t>
      </w:r>
      <w:r>
        <w:t xml:space="preserve">covers the full lifecycle of architectural services from concept design through to practical completion of the project in</w:t>
      </w:r>
      <w:r>
        <w:t xml:space="preserve"> </w:t>
      </w:r>
      <w:r>
        <w:t xml:space="preserve">Sudan Khartoum</w:t>
      </w:r>
      <w:r>
        <w:t xml:space="preserve">.</w:t>
      </w:r>
    </w:p>
    <w:p>
      <w:pPr>
        <w:pStyle w:val="BodyText"/>
      </w:pPr>
      <w:r>
        <w:t xml:space="preserve">2. Itemized Breakdown of Architectural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Fee (Sudanese Pound - SDG)</w:t>
            </w:r>
          </w:p>
        </w:tc>
        <w:tc>
          <w:tcPr/>
          <w:p>
            <w:pPr>
              <w:pStyle w:val="Compact"/>
              <w:jc w:val="left"/>
            </w:pPr>
            <w:r>
              <w:t xml:space="preserve">Fee (USD Equivalent)</w:t>
            </w:r>
          </w:p>
        </w:tc>
      </w:tr>
      <w:tr>
        <w:tc>
          <w:tcPr/>
          <w:p>
            <w:pPr>
              <w:pStyle w:val="Compact"/>
              <w:jc w:val="left"/>
            </w:pPr>
            <w:r>
              <w:t xml:space="preserve">1</w:t>
            </w:r>
          </w:p>
        </w:tc>
        <w:tc>
          <w:tcPr/>
          <w:p>
            <w:pPr>
              <w:pStyle w:val="Compact"/>
              <w:jc w:val="left"/>
            </w:pPr>
            <w:r>
              <w:t xml:space="preserve">Feasibility Study &amp; Site Analysis in Khartoum, Sudan (including topographic survey review, solar orientation study, and local zoning compliance assessment)</w:t>
            </w:r>
          </w:p>
        </w:tc>
        <w:tc>
          <w:tcPr/>
          <w:p>
            <w:pPr>
              <w:pStyle w:val="Compact"/>
              <w:jc w:val="left"/>
            </w:pPr>
            <w:r>
              <w:t xml:space="preserve">3 weeks</w:t>
            </w:r>
          </w:p>
        </w:tc>
        <w:tc>
          <w:tcPr/>
          <w:p>
            <w:pPr>
              <w:pStyle w:val="Compact"/>
              <w:jc w:val="left"/>
            </w:pPr>
            <w:r>
              <w:t xml:space="preserve">450,000 SDG</w:t>
            </w:r>
          </w:p>
        </w:tc>
        <w:tc>
          <w:tcPr/>
          <w:p>
            <w:pPr>
              <w:pStyle w:val="Compact"/>
              <w:jc w:val="left"/>
            </w:pPr>
            <w:r>
              <w:t xml:space="preserve">USD 5,400</w:t>
            </w:r>
          </w:p>
        </w:tc>
      </w:tr>
      <w:tr>
        <w:tc>
          <w:tcPr/>
          <w:p>
            <w:pPr>
              <w:pStyle w:val="Compact"/>
              <w:jc w:val="left"/>
            </w:pPr>
            <w:r>
              <w:t xml:space="preserve">2</w:t>
            </w:r>
          </w:p>
        </w:tc>
        <w:tc>
          <w:tcPr/>
          <w:p>
            <w:pPr>
              <w:pStyle w:val="Compact"/>
              <w:jc w:val="left"/>
            </w:pPr>
            <w:r>
              <w:t xml:space="preserve">Concept Design &amp; Architectural Massing (three (3) alternative schemes with 3D visualisations, client presentations, and design refinement)</w:t>
            </w:r>
          </w:p>
        </w:tc>
        <w:tc>
          <w:tcPr/>
          <w:p>
            <w:pPr>
              <w:pStyle w:val="Compact"/>
              <w:jc w:val="left"/>
            </w:pPr>
            <w:r>
              <w:t xml:space="preserve">5 weeks</w:t>
            </w:r>
          </w:p>
        </w:tc>
        <w:tc>
          <w:tcPr/>
          <w:p>
            <w:pPr>
              <w:pStyle w:val="Compact"/>
              <w:jc w:val="left"/>
            </w:pPr>
            <w:r>
              <w:t xml:space="preserve">1,200,000 SDG</w:t>
            </w:r>
          </w:p>
        </w:tc>
        <w:tc>
          <w:tcPr/>
          <w:p>
            <w:pPr>
              <w:pStyle w:val="Compact"/>
              <w:jc w:val="left"/>
            </w:pPr>
            <w:r>
              <w:t xml:space="preserve">USD 14,400</w:t>
            </w:r>
          </w:p>
        </w:tc>
      </w:tr>
      <w:tr>
        <w:tc>
          <w:tcPr/>
          <w:p>
            <w:pPr>
              <w:pStyle w:val="Compact"/>
              <w:jc w:val="left"/>
            </w:pPr>
            <w:r>
              <w:t xml:space="preserve">3</w:t>
            </w:r>
          </w:p>
        </w:tc>
        <w:tc>
          <w:tcPr/>
          <w:p>
            <w:pPr>
              <w:pStyle w:val="Compact"/>
              <w:jc w:val="left"/>
            </w:pPr>
            <w:r>
              <w:t xml:space="preserve">Scheme Design &amp; Detailed Architectural Drawings (floor plans, elevations, sections, door/window schedules, and material specifications)</w:t>
            </w:r>
          </w:p>
        </w:tc>
        <w:tc>
          <w:tcPr/>
          <w:p>
            <w:pPr>
              <w:pStyle w:val="Compact"/>
              <w:jc w:val="left"/>
            </w:pPr>
            <w:r>
              <w:t xml:space="preserve">8 weeks</w:t>
            </w:r>
          </w:p>
        </w:tc>
        <w:tc>
          <w:tcPr/>
          <w:p>
            <w:pPr>
              <w:pStyle w:val="Compact"/>
              <w:jc w:val="left"/>
            </w:pPr>
            <w:r>
              <w:t xml:space="preserve">2,400,000 SDG</w:t>
            </w:r>
          </w:p>
        </w:tc>
        <w:tc>
          <w:tcPr/>
          <w:p>
            <w:pPr>
              <w:pStyle w:val="Compact"/>
              <w:jc w:val="left"/>
            </w:pPr>
            <w:r>
              <w:t xml:space="preserve">USD 28,800</w:t>
            </w:r>
          </w:p>
        </w:tc>
      </w:tr>
      <w:tr>
        <w:tc>
          <w:tcPr/>
          <w:p>
            <w:pPr>
              <w:pStyle w:val="Compact"/>
              <w:jc w:val="left"/>
            </w:pPr>
            <w:r>
              <w:t xml:space="preserve">4</w:t>
            </w:r>
          </w:p>
        </w:tc>
        <w:tc>
          <w:tcPr/>
          <w:p>
            <w:pPr>
              <w:pStyle w:val="Compact"/>
              <w:jc w:val="left"/>
            </w:pPr>
            <w:r>
              <w:t xml:space="preserve">Statutory Submission &amp; Permitting (preparation and submission of all drawings to Khartoum State Municipality, Sudanese Civil Aviation Authority clearance, and environmental impact coordination)</w:t>
            </w:r>
          </w:p>
        </w:tc>
        <w:tc>
          <w:tcPr/>
          <w:p>
            <w:pPr>
              <w:pStyle w:val="Compact"/>
              <w:jc w:val="left"/>
            </w:pPr>
            <w:r>
              <w:t xml:space="preserve">6 weeks</w:t>
            </w:r>
          </w:p>
        </w:tc>
        <w:tc>
          <w:tcPr/>
          <w:p>
            <w:pPr>
              <w:pStyle w:val="Compact"/>
              <w:jc w:val="left"/>
            </w:pPr>
            <w:r>
              <w:t xml:space="preserve">850,000 SDG</w:t>
            </w:r>
          </w:p>
        </w:tc>
        <w:tc>
          <w:tcPr/>
          <w:p>
            <w:pPr>
              <w:pStyle w:val="Compact"/>
              <w:jc w:val="left"/>
            </w:pPr>
            <w:r>
              <w:t xml:space="preserve">USD 10,200</w:t>
            </w:r>
          </w:p>
        </w:tc>
      </w:tr>
      <w:tr>
        <w:tc>
          <w:tcPr/>
          <w:p>
            <w:pPr>
              <w:pStyle w:val="Compact"/>
              <w:jc w:val="left"/>
            </w:pPr>
            <w:r>
              <w:t xml:space="preserve">5</w:t>
            </w:r>
          </w:p>
        </w:tc>
        <w:tc>
          <w:tcPr/>
          <w:p>
            <w:pPr>
              <w:pStyle w:val="Compact"/>
              <w:jc w:val="left"/>
            </w:pPr>
            <w:r>
              <w:t xml:space="preserve">Tender Documentation &amp; Contractor Support (Bill of Quantities coordination, tender drawings, and pre-contract queries in Sudan Khartoum)</w:t>
            </w:r>
          </w:p>
        </w:tc>
        <w:tc>
          <w:tcPr/>
          <w:p>
            <w:pPr>
              <w:pStyle w:val="Compact"/>
              <w:jc w:val="left"/>
            </w:pPr>
            <w:r>
              <w:t xml:space="preserve">4 weeks</w:t>
            </w:r>
          </w:p>
        </w:tc>
        <w:tc>
          <w:tcPr/>
          <w:p>
            <w:pPr>
              <w:pStyle w:val="Compact"/>
              <w:jc w:val="left"/>
            </w:pPr>
            <w:r>
              <w:t xml:space="preserve">600,000 SDG</w:t>
            </w:r>
          </w:p>
        </w:tc>
        <w:tc>
          <w:tcPr/>
          <w:p>
            <w:pPr>
              <w:pStyle w:val="Compact"/>
              <w:jc w:val="left"/>
            </w:pPr>
            <w:r>
              <w:t xml:space="preserve">USD 7,200</w:t>
            </w:r>
          </w:p>
        </w:tc>
      </w:tr>
      <w:tr>
        <w:tc>
          <w:tcPr/>
          <w:p>
            <w:pPr>
              <w:pStyle w:val="Compact"/>
              <w:jc w:val="left"/>
            </w:pPr>
            <w:r>
              <w:t xml:space="preserve">6</w:t>
            </w:r>
          </w:p>
        </w:tc>
        <w:tc>
          <w:tcPr/>
          <w:p>
            <w:pPr>
              <w:pStyle w:val="Compact"/>
              <w:jc w:val="left"/>
            </w:pPr>
            <w:r>
              <w:t xml:space="preserve">Construction Phase Architectural Supervision (weekly site inspections, design queries resolution, variation assessments, and progress reporting throughout the 18-month construction period)</w:t>
            </w:r>
          </w:p>
        </w:tc>
        <w:tc>
          <w:tcPr/>
          <w:p>
            <w:pPr>
              <w:pStyle w:val="Compact"/>
              <w:jc w:val="left"/>
            </w:pPr>
            <w:r>
              <w:t xml:space="preserve">18 months</w:t>
            </w:r>
          </w:p>
        </w:tc>
        <w:tc>
          <w:tcPr/>
          <w:p>
            <w:pPr>
              <w:pStyle w:val="Compact"/>
              <w:jc w:val="left"/>
            </w:pPr>
            <w:r>
              <w:t xml:space="preserve">3,600,000 SDG</w:t>
            </w:r>
          </w:p>
        </w:tc>
        <w:tc>
          <w:tcPr/>
          <w:p>
            <w:pPr>
              <w:pStyle w:val="Compact"/>
              <w:jc w:val="left"/>
            </w:pPr>
            <w:r>
              <w:t xml:space="preserve">USD 43,200</w:t>
            </w:r>
          </w:p>
        </w:tc>
      </w:tr>
      <w:tr>
        <w:tc>
          <w:tcPr/>
          <w:p>
            <w:pPr>
              <w:pStyle w:val="Compact"/>
              <w:jc w:val="left"/>
            </w:pPr>
            <w:r>
              <w:t xml:space="preserve">7</w:t>
            </w:r>
          </w:p>
        </w:tc>
        <w:tc>
          <w:tcPr/>
          <w:p>
            <w:pPr>
              <w:pStyle w:val="Compact"/>
              <w:jc w:val="left"/>
            </w:pPr>
            <w:r>
              <w:t xml:space="preserve">As-Built Documentation &amp; Handover (final architectural record drawings, O&amp;M manuals, and project close-out in compliance with Sudanese regulatory requirements)</w:t>
            </w:r>
          </w:p>
        </w:tc>
        <w:tc>
          <w:tcPr/>
          <w:p>
            <w:pPr>
              <w:pStyle w:val="Compact"/>
              <w:jc w:val="left"/>
            </w:pPr>
            <w:r>
              <w:t xml:space="preserve">4 weeks</w:t>
            </w:r>
          </w:p>
        </w:tc>
        <w:tc>
          <w:tcPr/>
          <w:p>
            <w:pPr>
              <w:pStyle w:val="Compact"/>
              <w:jc w:val="left"/>
            </w:pPr>
            <w:r>
              <w:t xml:space="preserve">400,000 SDG</w:t>
            </w:r>
          </w:p>
        </w:tc>
        <w:tc>
          <w:tcPr/>
          <w:p>
            <w:pPr>
              <w:pStyle w:val="Compact"/>
              <w:jc w:val="left"/>
            </w:pPr>
            <w:r>
              <w:t xml:space="preserve">USD 4,800</w:t>
            </w:r>
          </w:p>
        </w:tc>
      </w:tr>
      <w:tr>
        <w:tc>
          <w:tcPr>
            <w:gridSpan w:val="3"/>
          </w:tcPr>
          <w:p>
            <w:pPr>
              <w:pStyle w:val="Compact"/>
              <w:jc w:val="left"/>
            </w:pPr>
            <w:r>
              <w:t xml:space="preserve">TOTAL ESTIMATED ARCHITECTURAL FEES</w:t>
            </w:r>
          </w:p>
        </w:tc>
        <w:tc>
          <w:tcPr/>
          <w:p>
            <w:pPr>
              <w:pStyle w:val="Compact"/>
              <w:jc w:val="left"/>
            </w:pPr>
            <w:r>
              <w:t xml:space="preserve">9,500,000 SDG</w:t>
            </w:r>
          </w:p>
        </w:tc>
        <w:tc>
          <w:tcPr/>
          <w:p>
            <w:pPr>
              <w:pStyle w:val="Compact"/>
              <w:jc w:val="left"/>
            </w:pPr>
            <w:r>
              <w:t xml:space="preserve">USD 114,000</w:t>
            </w:r>
          </w:p>
        </w:tc>
      </w:tr>
    </w:tbl>
    <w:p>
      <w:pPr>
        <w:pStyle w:val="BodyText"/>
      </w:pPr>
      <w:r>
        <w:t xml:space="preserve">3. Payment Schedule</w:t>
      </w:r>
    </w:p>
    <w:p>
      <w:pPr>
        <w:pStyle w:val="BodyText"/>
      </w:pPr>
      <w:r>
        <w:t xml:space="preserve">This</w:t>
      </w:r>
      <w:r>
        <w:t xml:space="preserve"> </w:t>
      </w:r>
      <w:r>
        <w:t xml:space="preserve">Quotation Estimate</w:t>
      </w:r>
      <w:r>
        <w:t xml:space="preserve"> </w:t>
      </w:r>
      <w:r>
        <w:t xml:space="preserve">proposes the following payment milestones, payable within fourteen (14) calendar days of invoice issuance by the</w:t>
      </w:r>
      <w:r>
        <w:t xml:space="preserve"> </w:t>
      </w:r>
      <w:r>
        <w:t xml:space="preserve">Architect</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(SDG)</w:t>
            </w:r>
          </w:p>
        </w:tc>
      </w:tr>
      <w:tr>
        <w:tc>
          <w:tcPr/>
          <w:p>
            <w:pPr>
              <w:pStyle w:val="Compact"/>
              <w:jc w:val="left"/>
            </w:pPr>
            <w:r>
              <w:t xml:space="preserve">Upon signing of the Architect's appointment agreement</w:t>
            </w:r>
          </w:p>
        </w:tc>
        <w:tc>
          <w:tcPr/>
          <w:p>
            <w:pPr>
              <w:pStyle w:val="Compact"/>
              <w:jc w:val="left"/>
            </w:pPr>
            <w:r>
              <w:t xml:space="preserve">10%</w:t>
            </w:r>
          </w:p>
        </w:tc>
        <w:tc>
          <w:tcPr/>
          <w:p>
            <w:pPr>
              <w:pStyle w:val="Compact"/>
              <w:jc w:val="left"/>
            </w:pPr>
            <w:r>
              <w:t xml:space="preserve">950,000</w:t>
            </w:r>
          </w:p>
        </w:tc>
      </w:tr>
      <w:tr>
        <w:tc>
          <w:tcPr/>
          <w:p>
            <w:pPr>
              <w:pStyle w:val="Compact"/>
              <w:jc w:val="left"/>
            </w:pPr>
            <w:r>
              <w:t xml:space="preserve">Upon approval of Concept Design</w:t>
            </w:r>
          </w:p>
        </w:tc>
        <w:tc>
          <w:tcPr/>
          <w:p>
            <w:pPr>
              <w:pStyle w:val="Compact"/>
              <w:jc w:val="left"/>
            </w:pPr>
            <w:r>
              <w:t xml:space="preserve">15%</w:t>
            </w:r>
          </w:p>
        </w:tc>
        <w:tc>
          <w:tcPr/>
          <w:p>
            <w:pPr>
              <w:pStyle w:val="Compact"/>
              <w:jc w:val="left"/>
            </w:pPr>
            <w:r>
              <w:t xml:space="preserve">1,425,000</w:t>
            </w:r>
          </w:p>
        </w:tc>
      </w:tr>
      <w:tr>
        <w:tc>
          <w:tcPr/>
          <w:p>
            <w:pPr>
              <w:pStyle w:val="Compact"/>
              <w:jc w:val="left"/>
            </w:pPr>
            <w:r>
              <w:t xml:space="preserve">Upon submission of Scheme Design drawings</w:t>
            </w:r>
          </w:p>
        </w:tc>
        <w:tc>
          <w:tcPr/>
          <w:p>
            <w:pPr>
              <w:pStyle w:val="Compact"/>
              <w:jc w:val="left"/>
            </w:pPr>
            <w:r>
              <w:t xml:space="preserve">20%</w:t>
            </w:r>
          </w:p>
        </w:tc>
        <w:tc>
          <w:tcPr/>
          <w:p>
            <w:pPr>
              <w:pStyle w:val="Compact"/>
              <w:jc w:val="left"/>
            </w:pPr>
            <w:r>
              <w:t xml:space="preserve">1,900,000</w:t>
            </w:r>
          </w:p>
        </w:tc>
      </w:tr>
      <w:tr>
        <w:tc>
          <w:tcPr/>
          <w:p>
            <w:pPr>
              <w:pStyle w:val="Compact"/>
              <w:jc w:val="left"/>
            </w:pPr>
            <w:r>
              <w:t xml:space="preserve">Upon receipt of building permit from Khartoum Municipality</w:t>
            </w:r>
          </w:p>
        </w:tc>
        <w:tc>
          <w:tcPr/>
          <w:p>
            <w:pPr>
              <w:pStyle w:val="Compact"/>
              <w:jc w:val="left"/>
            </w:pPr>
            <w:r>
              <w:t xml:space="preserve">15%</w:t>
            </w:r>
          </w:p>
        </w:tc>
        <w:tc>
          <w:tcPr/>
          <w:p>
            <w:pPr>
              <w:pStyle w:val="Compact"/>
              <w:jc w:val="left"/>
            </w:pPr>
            <w:r>
              <w:t xml:space="preserve">1,425,000</w:t>
            </w:r>
          </w:p>
        </w:tc>
      </w:tr>
      <w:tr>
        <w:tc>
          <w:tcPr/>
          <w:p>
            <w:pPr>
              <w:pStyle w:val="Compact"/>
              <w:jc w:val="left"/>
            </w:pPr>
            <w:r>
              <w:t xml:space="preserve">Monthly during construction supervision (18 equal instalments)</w:t>
            </w:r>
          </w:p>
        </w:tc>
        <w:tc>
          <w:tcPr/>
          <w:p>
            <w:pPr>
              <w:pStyle w:val="Compact"/>
              <w:jc w:val="left"/>
            </w:pPr>
            <w:r>
              <w:t xml:space="preserve">35%</w:t>
            </w:r>
          </w:p>
        </w:tc>
        <w:tc>
          <w:tcPr/>
          <w:p>
            <w:pPr>
              <w:pStyle w:val="Compact"/>
              <w:jc w:val="left"/>
            </w:pPr>
            <w:r>
              <w:t xml:space="preserve">3,325,000</w:t>
            </w:r>
          </w:p>
        </w:tc>
      </w:tr>
      <w:tr>
        <w:tc>
          <w:tcPr/>
          <w:p>
            <w:pPr>
              <w:pStyle w:val="Compact"/>
              <w:jc w:val="left"/>
            </w:pPr>
            <w:r>
              <w:t xml:space="preserve">Upon practical completion and handover</w:t>
            </w:r>
          </w:p>
        </w:tc>
        <w:tc>
          <w:tcPr/>
          <w:p>
            <w:pPr>
              <w:pStyle w:val="Compact"/>
              <w:jc w:val="left"/>
            </w:pPr>
            <w:r>
              <w:t xml:space="preserve">5%</w:t>
            </w:r>
          </w:p>
        </w:tc>
        <w:tc>
          <w:tcPr/>
          <w:p>
            <w:pPr>
              <w:pStyle w:val="Compact"/>
              <w:jc w:val="left"/>
            </w:pPr>
            <w:r>
              <w:t xml:space="preserve">475,000</w:t>
            </w:r>
          </w:p>
        </w:tc>
      </w:tr>
    </w:tbl>
    <w:p>
      <w:pPr>
        <w:pStyle w:val="BodyText"/>
      </w:pPr>
      <w:r>
        <w:t xml:space="preserve">4. Terms &amp; Conditions of This Quotation Estimate</w:t>
      </w:r>
    </w:p>
    <w:p>
      <w:pPr>
        <w:pStyle w:val="BodyText"/>
      </w:pPr>
      <w:r>
        <w:rPr>
          <w:bCs/>
          <w:b/>
        </w:rPr>
        <w:t xml:space="preserve">4.1</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the</w:t>
      </w:r>
      <w:r>
        <w:t xml:space="preserve"> </w:t>
      </w:r>
      <w:r>
        <w:t xml:space="preserve">Architect</w:t>
      </w:r>
      <w:r>
        <w:t xml:space="preserve"> </w:t>
      </w:r>
      <w:r>
        <w:t xml:space="preserve">reserves the right to revise fees due to market fluctuations in</w:t>
      </w:r>
      <w:r>
        <w:t xml:space="preserve"> </w:t>
      </w:r>
      <w:r>
        <w:t xml:space="preserve">Sudan Khartoum</w:t>
      </w:r>
      <w:r>
        <w:t xml:space="preserve">.</w:t>
      </w:r>
    </w:p>
    <w:p>
      <w:pPr>
        <w:pStyle w:val="BodyText"/>
      </w:pPr>
      <w:r>
        <w:rPr>
          <w:bCs/>
          <w:b/>
        </w:rPr>
        <w:t xml:space="preserve">4.2</w:t>
      </w:r>
      <w:r>
        <w:t xml:space="preserve"> </w:t>
      </w:r>
      <w:r>
        <w:t xml:space="preserve">All fees are exclusive of Value Added Tax (VAT) at the prevailing Sudanese rate, which shall be added to each invoice as applicable.</w:t>
      </w:r>
    </w:p>
    <w:p>
      <w:pPr>
        <w:pStyle w:val="BodyText"/>
      </w:pPr>
      <w:r>
        <w:rPr>
          <w:bCs/>
          <w:b/>
        </w:rPr>
        <w:t xml:space="preserve">4.3</w:t>
      </w:r>
      <w:r>
        <w:t xml:space="preserve"> </w:t>
      </w:r>
      <w:r>
        <w:t xml:space="preserve">The</w:t>
      </w:r>
      <w:r>
        <w:t xml:space="preserve"> </w:t>
      </w:r>
      <w:r>
        <w:t xml:space="preserve">Architect</w:t>
      </w:r>
      <w:r>
        <w:t xml:space="preserve"> </w:t>
      </w:r>
      <w:r>
        <w:t xml:space="preserve">shall not be liable for delays caused by third-party authorities, including but not limited to Khartoum State Municipality, the Sudanese Ministry of Housing, or utility providers.</w:t>
      </w:r>
    </w:p>
    <w:p>
      <w:pPr>
        <w:pStyle w:val="BodyText"/>
      </w:pPr>
      <w:r>
        <w:rPr>
          <w:bCs/>
          <w:b/>
        </w:rPr>
        <w:t xml:space="preserve">4.4</w:t>
      </w:r>
      <w:r>
        <w:t xml:space="preserve"> </w:t>
      </w:r>
      <w:r>
        <w:t xml:space="preserve">Any design variations requested by the client beyond the agreed scope shall be subject to a supplementary</w:t>
      </w:r>
      <w:r>
        <w:t xml:space="preserve"> </w:t>
      </w:r>
      <w:r>
        <w:t xml:space="preserve">Quotation Estimate</w:t>
      </w:r>
      <w:r>
        <w:t xml:space="preserve"> </w:t>
      </w:r>
      <w:r>
        <w:t xml:space="preserve">issued by the</w:t>
      </w:r>
      <w:r>
        <w:t xml:space="preserve"> </w:t>
      </w:r>
      <w:r>
        <w:t xml:space="preserve">Architect</w:t>
      </w:r>
      <w:r>
        <w:t xml:space="preserve"> </w:t>
      </w:r>
      <w:r>
        <w:t xml:space="preserve">prior to commencement of additional work.</w:t>
      </w:r>
    </w:p>
    <w:p>
      <w:pPr>
        <w:pStyle w:val="BodyText"/>
      </w:pPr>
      <w:r>
        <w:rPr>
          <w:bCs/>
          <w:b/>
        </w:rPr>
        <w:t xml:space="preserve">4.5</w:t>
      </w:r>
      <w:r>
        <w:t xml:space="preserve"> </w:t>
      </w:r>
      <w:r>
        <w:t xml:space="preserve">All intellectual property rights in the architectural drawings and designs produced by the</w:t>
      </w:r>
      <w:r>
        <w:t xml:space="preserve"> </w:t>
      </w:r>
      <w:r>
        <w:t xml:space="preserve">Architect</w:t>
      </w:r>
      <w:r>
        <w:t xml:space="preserve"> </w:t>
      </w:r>
      <w:r>
        <w:t xml:space="preserve">shall remain with Studio Nubia Architectural Design until full payment of all fees has been received.</w:t>
      </w:r>
    </w:p>
    <w:p>
      <w:pPr>
        <w:pStyle w:val="BodyText"/>
      </w:pPr>
      <w:r>
        <w:rPr>
          <w:bCs/>
          <w:b/>
        </w:rPr>
        <w:t xml:space="preserve">4.6</w:t>
      </w:r>
      <w:r>
        <w:t xml:space="preserve"> </w:t>
      </w:r>
      <w:r>
        <w:t xml:space="preserve">Disputes arising from this engagement shall be resolved through arbitration in Khartoum, Sudan, in accordance with the Sudanese Arbitration Act.</w:t>
      </w:r>
    </w:p>
    <w:p>
      <w:pPr>
        <w:pStyle w:val="BodyText"/>
      </w:pPr>
      <w:r>
        <w:rPr>
          <w:bCs/>
          <w:b/>
        </w:rPr>
        <w:t xml:space="preserve">4.7</w:t>
      </w:r>
      <w:r>
        <w:t xml:space="preserve"> </w:t>
      </w:r>
      <w:r>
        <w:t xml:space="preserve">The</w:t>
      </w:r>
      <w:r>
        <w:t xml:space="preserve"> </w:t>
      </w:r>
      <w:r>
        <w:t xml:space="preserve">Architect</w:t>
      </w:r>
      <w:r>
        <w:t xml:space="preserve"> </w:t>
      </w:r>
      <w:r>
        <w:t xml:space="preserve">shall maintain professional indemnity insurance with a minimum cover of 5,000,000 SDG throughout the duration of the project in</w:t>
      </w:r>
      <w:r>
        <w:t xml:space="preserve"> </w:t>
      </w:r>
      <w:r>
        <w:t xml:space="preserve">Sudan Khartoum</w:t>
      </w:r>
      <w:r>
        <w:t xml:space="preserve">.</w:t>
      </w:r>
    </w:p>
    <w:p>
      <w:pPr>
        <w:pStyle w:val="BodyText"/>
      </w:pPr>
      <w:r>
        <w:t xml:space="preserve">5. Acceptance</w:t>
      </w:r>
    </w:p>
    <w:p>
      <w:pPr>
        <w:pStyle w:val="BodyText"/>
      </w:pPr>
      <w:r>
        <w:t xml:space="preserve">By signing below, the client acknowledges and accepts this</w:t>
      </w:r>
      <w:r>
        <w:t xml:space="preserve"> </w:t>
      </w:r>
      <w:r>
        <w:t xml:space="preserve">Quotation Estimate</w:t>
      </w:r>
      <w:r>
        <w:t xml:space="preserve"> </w:t>
      </w:r>
      <w:r>
        <w:t xml:space="preserve">for the architectural services described herein, and the</w:t>
      </w:r>
      <w:r>
        <w:t xml:space="preserve"> </w:t>
      </w:r>
      <w:r>
        <w:t xml:space="preserve">Architect</w:t>
      </w:r>
      <w:r>
        <w:t xml:space="preserve"> </w:t>
      </w:r>
      <w:r>
        <w:t xml:space="preserve">confirms availability to commence work upon receipt of the initial mobilisation payment.</w:t>
      </w:r>
    </w:p>
    <w:p>
      <w:pPr>
        <w:pStyle w:val="BodyText"/>
      </w:pPr>
      <w:r>
        <w:rPr>
          <w:bCs/>
          <w:b/>
        </w:rPr>
        <w:t xml:space="preserve">For and on behalf of the Architect:</w:t>
      </w:r>
    </w:p>
    <w:p>
      <w:pPr>
        <w:pStyle w:val="BodyText"/>
      </w:pPr>
      <w:r>
        <w:t xml:space="preserve">Studio Nubia Architectural Design</w:t>
      </w:r>
    </w:p>
    <w:p>
      <w:pPr>
        <w:pStyle w:val="BodyText"/>
      </w:pPr>
      <w:r>
        <w:t xml:space="preserve">Engineer Mahmoud El-Tayeb</w:t>
      </w:r>
      <w:r>
        <w:br/>
      </w:r>
      <w:r>
        <w:t xml:space="preserve">Chartered Architect, RIBA</w:t>
      </w:r>
      <w:r>
        <w:br/>
      </w:r>
      <w:r>
        <w:t xml:space="preserve">Date: _______________</w:t>
      </w:r>
    </w:p>
    <w:p>
      <w:pPr>
        <w:pStyle w:val="BodyText"/>
      </w:pPr>
      <w:r>
        <w:rPr>
          <w:bCs/>
          <w:b/>
        </w:rPr>
        <w:t xml:space="preserve">For and on behalf of the Client:</w:t>
      </w:r>
    </w:p>
    <w:p>
      <w:pPr>
        <w:pStyle w:val="BodyText"/>
      </w:pPr>
      <w:r>
        <w:t xml:space="preserve">Al-Rashid Development Company Ltd.</w:t>
      </w:r>
    </w:p>
    <w:p>
      <w:pPr>
        <w:pStyle w:val="BodyText"/>
      </w:pPr>
      <w:r>
        <w:t xml:space="preserve">Mr. Ibrahim Al-Rashid</w:t>
      </w:r>
      <w:r>
        <w:br/>
      </w:r>
      <w:r>
        <w:t xml:space="preserve">Managing Director</w:t>
      </w:r>
      <w:r>
        <w:br/>
      </w:r>
      <w:r>
        <w:t xml:space="preserve">Date: _______________</w:t>
      </w:r>
    </w:p>
    <w:p>
      <w:pPr>
        <w:pStyle w:val="BodyText"/>
      </w:pPr>
      <w:r>
        <w:t xml:space="preserve">This Quotation Estimate document was prepared by Studio Nubia Architectural Design, Khartoum, Sudan. All references to Sudan Khartoum pertain to the geographic and regulatory jurisdiction in which the Architect's services shall be delivered. This document constitutes a formal commercial offer and is not a binding contract until countersigned by both parties.</w:t>
      </w:r>
    </w:p>
    <w:p>
      <w:pPr>
        <w:pStyle w:val="BodyText"/>
      </w:pPr>
      <w:r>
        <w:t xml:space="preserve">© 2025 Studio Nubia Architectural Design —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Sudan Khartoum</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