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1" w:name="quotation-estimate"/>
    <w:p>
      <w:pPr>
        <w:pStyle w:val="Heading1"/>
      </w:pPr>
      <w:r>
        <w:t xml:space="preserve">QUOTATION ESTIMATE</w:t>
      </w:r>
    </w:p>
    <w:bookmarkStart w:id="20" w:name="architectural-design-consulting-services"/>
    <w:p>
      <w:pPr>
        <w:pStyle w:val="Heading2"/>
      </w:pPr>
      <w:r>
        <w:t xml:space="preserve">Architectural Design &amp; Consulting Services</w:t>
      </w:r>
    </w:p>
    <w:p>
      <w:pPr>
        <w:pStyle w:val="FirstParagraph"/>
      </w:pPr>
      <w:r>
        <w:t xml:space="preserve">Prepared for clients in</w:t>
      </w:r>
      <w:r>
        <w:t xml:space="preserve"> </w:t>
      </w:r>
      <w:r>
        <w:t xml:space="preserve">Switzerland Zurich</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QE-ZRH-2025-04782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Architect / Firm</w:t>
            </w:r>
          </w:p>
        </w:tc>
        <w:tc>
          <w:tcPr/>
          <w:p>
            <w:pPr>
              <w:pStyle w:val="Compact"/>
              <w:jc w:val="left"/>
            </w:pPr>
            <w:r>
              <w:t xml:space="preserve">Studio Meridian Architekten AG, Bahnhofstrasse 142, 8001 Zurich, Switzerland</w:t>
            </w:r>
          </w:p>
        </w:tc>
      </w:tr>
      <w:tr>
        <w:tc>
          <w:tcPr/>
          <w:p>
            <w:pPr>
              <w:pStyle w:val="Compact"/>
              <w:jc w:val="left"/>
            </w:pPr>
            <w:r>
              <w:t xml:space="preserve">Client</w:t>
            </w:r>
          </w:p>
        </w:tc>
        <w:tc>
          <w:tcPr/>
          <w:p>
            <w:pPr>
              <w:pStyle w:val="Compact"/>
              <w:jc w:val="left"/>
            </w:pPr>
            <w:r>
              <w:t xml:space="preserve">Mr. / Ms. [Client Name], [Street Address], 8000 Zurich, Switzerland</w:t>
            </w:r>
          </w:p>
        </w:tc>
      </w:tr>
      <w:tr>
        <w:tc>
          <w:tcPr/>
          <w:p>
            <w:pPr>
              <w:pStyle w:val="Compact"/>
              <w:jc w:val="left"/>
            </w:pPr>
            <w:r>
              <w:t xml:space="preserve">Project Location</w:t>
            </w:r>
          </w:p>
        </w:tc>
        <w:tc>
          <w:tcPr/>
          <w:p>
            <w:pPr>
              <w:pStyle w:val="Compact"/>
              <w:jc w:val="left"/>
            </w:pPr>
            <w:r>
              <w:t xml:space="preserve">Switzerland Zurich – Limmatquai District, 8001 Zurich</w:t>
            </w:r>
          </w:p>
        </w:tc>
      </w:tr>
      <w:tr>
        <w:tc>
          <w:tcPr/>
          <w:p>
            <w:pPr>
              <w:pStyle w:val="Compact"/>
              <w:jc w:val="left"/>
            </w:pPr>
            <w:r>
              <w:t xml:space="preserve">Project Reference</w:t>
            </w:r>
          </w:p>
        </w:tc>
        <w:tc>
          <w:tcPr/>
          <w:p>
            <w:pPr>
              <w:pStyle w:val="Compact"/>
              <w:jc w:val="left"/>
            </w:pPr>
            <w:r>
              <w:t xml:space="preserve">Residential Renovation &amp; Extension – 4-Storey Townhouse</w:t>
            </w:r>
          </w:p>
        </w:tc>
      </w:tr>
      <w:tr>
        <w:tc>
          <w:tcPr/>
          <w:p>
            <w:pPr>
              <w:pStyle w:val="Compact"/>
              <w:jc w:val="left"/>
            </w:pPr>
            <w:r>
              <w:t xml:space="preserve">Currency</w:t>
            </w:r>
          </w:p>
        </w:tc>
        <w:tc>
          <w:tcPr/>
          <w:p>
            <w:pPr>
              <w:pStyle w:val="Compact"/>
              <w:jc w:val="left"/>
            </w:pPr>
            <w:r>
              <w:t xml:space="preserve">Swiss Franc (CHF)</w:t>
            </w:r>
          </w:p>
        </w:tc>
      </w:tr>
    </w:tbl>
    <w:bookmarkStart w:id="22" w:name="scope-of-architectural-services"/>
    <w:p>
      <w:pPr>
        <w:pStyle w:val="Heading3"/>
      </w:pPr>
      <w:r>
        <w:t xml:space="preserve">1. Scope of Architectural Services</w:t>
      </w:r>
    </w:p>
    <w:p>
      <w:pPr>
        <w:pStyle w:val="FirstParagraph"/>
      </w:pPr>
      <w:r>
        <w:t xml:space="preserve">This</w:t>
      </w:r>
      <w:r>
        <w:t xml:space="preserve"> </w:t>
      </w:r>
      <w:r>
        <w:t xml:space="preserve">Quotation Estimate</w:t>
      </w:r>
      <w:r>
        <w:t xml:space="preserve"> </w:t>
      </w:r>
      <w:r>
        <w:t xml:space="preserve">is issued by Studio Meridian Architekten AG, a licensed</w:t>
      </w:r>
      <w:r>
        <w:t xml:space="preserve"> </w:t>
      </w:r>
      <w:r>
        <w:t xml:space="preserve">Architect</w:t>
      </w:r>
      <w:r>
        <w:t xml:space="preserve"> </w:t>
      </w:r>
      <w:r>
        <w:t xml:space="preserve">practice registered with the Swiss Federal Office of Justice and the Canton of Zurich Building Authority. The following services are proposed for the residential renovation and extension project located in</w:t>
      </w:r>
      <w:r>
        <w:t xml:space="preserve"> </w:t>
      </w:r>
      <w:r>
        <w:t xml:space="preserve">Switzerland Zurich</w:t>
      </w:r>
      <w:r>
        <w:t xml:space="preserve">. All work shall be performed in accordance with the Swiss Federal Law on Spatial Planning (RPG), the Canton of Zurich Building Code (BauG), and the professional standards set forth by the Swiss Society of Architects (SIA).</w:t>
      </w:r>
    </w:p>
    <w:bookmarkEnd w:id="22"/>
    <w:bookmarkStart w:id="23" w:name="detailed-service-breakdown"/>
    <w:p>
      <w:pPr>
        <w:pStyle w:val="Heading3"/>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Architect Services</w:t>
            </w:r>
          </w:p>
        </w:tc>
        <w:tc>
          <w:tcPr/>
          <w:p>
            <w:pPr>
              <w:pStyle w:val="Compact"/>
              <w:jc w:val="left"/>
            </w:pPr>
            <w:r>
              <w:t xml:space="preserve">Phase</w:t>
            </w:r>
          </w:p>
        </w:tc>
        <w:tc>
          <w:tcPr/>
          <w:p>
            <w:pPr>
              <w:pStyle w:val="Compact"/>
              <w:jc w:val="left"/>
            </w:pPr>
            <w:r>
              <w:t xml:space="preserve">Est. Hours</w:t>
            </w:r>
          </w:p>
        </w:tc>
        <w:tc>
          <w:tcPr/>
          <w:p>
            <w:pPr>
              <w:pStyle w:val="Compact"/>
              <w:jc w:val="left"/>
            </w:pPr>
            <w:r>
              <w:t xml:space="preserve">Rate (CHF/hr)</w:t>
            </w:r>
          </w:p>
        </w:tc>
        <w:tc>
          <w:tcPr/>
          <w:p>
            <w:pPr>
              <w:pStyle w:val="Compact"/>
              <w:jc w:val="left"/>
            </w:pPr>
            <w:r>
              <w:t xml:space="preserve">Amount (CHF)</w:t>
            </w:r>
          </w:p>
        </w:tc>
      </w:tr>
      <w:tr>
        <w:tc>
          <w:tcPr/>
          <w:p>
            <w:pPr>
              <w:pStyle w:val="Compact"/>
              <w:jc w:val="left"/>
            </w:pPr>
            <w:r>
              <w:t xml:space="preserve">2.1</w:t>
            </w:r>
          </w:p>
        </w:tc>
        <w:tc>
          <w:tcPr/>
          <w:p>
            <w:pPr>
              <w:pStyle w:val="Compact"/>
              <w:jc w:val="left"/>
            </w:pPr>
            <w:r>
              <w:t xml:space="preserve">Initial site survey, feasibility study, and regulatory compliance assessment for the Zurich municipal building permit process</w:t>
            </w:r>
          </w:p>
        </w:tc>
        <w:tc>
          <w:tcPr/>
          <w:p>
            <w:pPr>
              <w:pStyle w:val="Compact"/>
              <w:jc w:val="left"/>
            </w:pPr>
            <w:r>
              <w:t xml:space="preserve">Pre-Design</w:t>
            </w:r>
          </w:p>
        </w:tc>
        <w:tc>
          <w:tcPr/>
          <w:p>
            <w:pPr>
              <w:pStyle w:val="Compact"/>
              <w:jc w:val="left"/>
            </w:pPr>
            <w:r>
              <w:t xml:space="preserve">24</w:t>
            </w:r>
          </w:p>
        </w:tc>
        <w:tc>
          <w:tcPr/>
          <w:p>
            <w:pPr>
              <w:pStyle w:val="Compact"/>
              <w:jc w:val="left"/>
            </w:pPr>
            <w:r>
              <w:t xml:space="preserve">220</w:t>
            </w:r>
          </w:p>
        </w:tc>
        <w:tc>
          <w:tcPr/>
          <w:p>
            <w:pPr>
              <w:pStyle w:val="Compact"/>
              <w:jc w:val="left"/>
            </w:pPr>
            <w:r>
              <w:t xml:space="preserve">5,280.00</w:t>
            </w:r>
          </w:p>
        </w:tc>
      </w:tr>
      <w:tr>
        <w:tc>
          <w:tcPr/>
          <w:p>
            <w:pPr>
              <w:pStyle w:val="Compact"/>
              <w:jc w:val="left"/>
            </w:pPr>
            <w:r>
              <w:t xml:space="preserve">2.2</w:t>
            </w:r>
          </w:p>
        </w:tc>
        <w:tc>
          <w:tcPr/>
          <w:p>
            <w:pPr>
              <w:pStyle w:val="Compact"/>
              <w:jc w:val="left"/>
            </w:pPr>
            <w:r>
              <w:t xml:space="preserve">Conceptual design development including 3D massing studies, material palette selection, and energy efficiency modelling (Minergie-P standard)</w:t>
            </w:r>
          </w:p>
        </w:tc>
        <w:tc>
          <w:tcPr/>
          <w:p>
            <w:pPr>
              <w:pStyle w:val="Compact"/>
              <w:jc w:val="left"/>
            </w:pPr>
            <w:r>
              <w:t xml:space="preserve">Concept</w:t>
            </w:r>
          </w:p>
        </w:tc>
        <w:tc>
          <w:tcPr/>
          <w:p>
            <w:pPr>
              <w:pStyle w:val="Compact"/>
              <w:jc w:val="left"/>
            </w:pPr>
            <w:r>
              <w:t xml:space="preserve">48</w:t>
            </w:r>
          </w:p>
        </w:tc>
        <w:tc>
          <w:tcPr/>
          <w:p>
            <w:pPr>
              <w:pStyle w:val="Compact"/>
              <w:jc w:val="left"/>
            </w:pPr>
            <w:r>
              <w:t xml:space="preserve">220</w:t>
            </w:r>
          </w:p>
        </w:tc>
        <w:tc>
          <w:tcPr/>
          <w:p>
            <w:pPr>
              <w:pStyle w:val="Compact"/>
              <w:jc w:val="left"/>
            </w:pPr>
            <w:r>
              <w:t xml:space="preserve">10,560.00</w:t>
            </w:r>
          </w:p>
        </w:tc>
      </w:tr>
      <w:tr>
        <w:tc>
          <w:tcPr/>
          <w:p>
            <w:pPr>
              <w:pStyle w:val="Compact"/>
              <w:jc w:val="left"/>
            </w:pPr>
            <w:r>
              <w:t xml:space="preserve">2.3</w:t>
            </w:r>
          </w:p>
        </w:tc>
        <w:tc>
          <w:tcPr/>
          <w:p>
            <w:pPr>
              <w:pStyle w:val="Compact"/>
              <w:jc w:val="left"/>
            </w:pPr>
            <w:r>
              <w:t xml:space="preserve">Preparation of full planning drawings (SIA 102/103) for submission to the Zurich Building Permit Office (Bauabteilung Stadt Zürich)</w:t>
            </w:r>
          </w:p>
        </w:tc>
        <w:tc>
          <w:tcPr/>
          <w:p>
            <w:pPr>
              <w:pStyle w:val="Compact"/>
              <w:jc w:val="left"/>
            </w:pPr>
            <w:r>
              <w:t xml:space="preserve">Planning</w:t>
            </w:r>
          </w:p>
        </w:tc>
        <w:tc>
          <w:tcPr/>
          <w:p>
            <w:pPr>
              <w:pStyle w:val="Compact"/>
              <w:jc w:val="left"/>
            </w:pPr>
            <w:r>
              <w:t xml:space="preserve">72</w:t>
            </w:r>
          </w:p>
        </w:tc>
        <w:tc>
          <w:tcPr/>
          <w:p>
            <w:pPr>
              <w:pStyle w:val="Compact"/>
              <w:jc w:val="left"/>
            </w:pPr>
            <w:r>
              <w:t xml:space="preserve">220</w:t>
            </w:r>
          </w:p>
        </w:tc>
        <w:tc>
          <w:tcPr/>
          <w:p>
            <w:pPr>
              <w:pStyle w:val="Compact"/>
              <w:jc w:val="left"/>
            </w:pPr>
            <w:r>
              <w:t xml:space="preserve">15,840.00</w:t>
            </w:r>
          </w:p>
        </w:tc>
      </w:tr>
      <w:tr>
        <w:tc>
          <w:tcPr/>
          <w:p>
            <w:pPr>
              <w:pStyle w:val="Compact"/>
              <w:jc w:val="left"/>
            </w:pPr>
            <w:r>
              <w:t xml:space="preserve">2.4</w:t>
            </w:r>
          </w:p>
        </w:tc>
        <w:tc>
          <w:tcPr/>
          <w:p>
            <w:pPr>
              <w:pStyle w:val="Compact"/>
              <w:jc w:val="left"/>
            </w:pPr>
            <w:r>
              <w:t xml:space="preserve">Structural coordination with licensed engineer, MEP (mechanical, electrical, plumbing) integration, and fire safety compliance per SIA 989</w:t>
            </w:r>
          </w:p>
        </w:tc>
        <w:tc>
          <w:tcPr/>
          <w:p>
            <w:pPr>
              <w:pStyle w:val="Compact"/>
              <w:jc w:val="left"/>
            </w:pPr>
            <w:r>
              <w:t xml:space="preserve">Design Development</w:t>
            </w:r>
          </w:p>
        </w:tc>
        <w:tc>
          <w:tcPr/>
          <w:p>
            <w:pPr>
              <w:pStyle w:val="Compact"/>
              <w:jc w:val="left"/>
            </w:pPr>
            <w:r>
              <w:t xml:space="preserve">56</w:t>
            </w:r>
          </w:p>
        </w:tc>
        <w:tc>
          <w:tcPr/>
          <w:p>
            <w:pPr>
              <w:pStyle w:val="Compact"/>
              <w:jc w:val="left"/>
            </w:pPr>
            <w:r>
              <w:t xml:space="preserve">220</w:t>
            </w:r>
          </w:p>
        </w:tc>
        <w:tc>
          <w:tcPr/>
          <w:p>
            <w:pPr>
              <w:pStyle w:val="Compact"/>
              <w:jc w:val="left"/>
            </w:pPr>
            <w:r>
              <w:t xml:space="preserve">12,320.00</w:t>
            </w:r>
          </w:p>
        </w:tc>
      </w:tr>
      <w:tr>
        <w:tc>
          <w:tcPr/>
          <w:p>
            <w:pPr>
              <w:pStyle w:val="Compact"/>
              <w:jc w:val="left"/>
            </w:pPr>
            <w:r>
              <w:t xml:space="preserve">2.5</w:t>
            </w:r>
          </w:p>
        </w:tc>
        <w:tc>
          <w:tcPr/>
          <w:p>
            <w:pPr>
              <w:pStyle w:val="Compact"/>
              <w:jc w:val="left"/>
            </w:pPr>
            <w:r>
              <w:t xml:space="preserve">Detailed construction documentation, specification writing, and tender package preparation for contractor bidding in the Zurich market</w:t>
            </w:r>
          </w:p>
        </w:tc>
        <w:tc>
          <w:tcPr/>
          <w:p>
            <w:pPr>
              <w:pStyle w:val="Compact"/>
              <w:jc w:val="left"/>
            </w:pPr>
            <w:r>
              <w:t xml:space="preserve">Documentation</w:t>
            </w:r>
          </w:p>
        </w:tc>
        <w:tc>
          <w:tcPr/>
          <w:p>
            <w:pPr>
              <w:pStyle w:val="Compact"/>
              <w:jc w:val="left"/>
            </w:pPr>
            <w:r>
              <w:t xml:space="preserve">80</w:t>
            </w:r>
          </w:p>
        </w:tc>
        <w:tc>
          <w:tcPr/>
          <w:p>
            <w:pPr>
              <w:pStyle w:val="Compact"/>
              <w:jc w:val="left"/>
            </w:pPr>
            <w:r>
              <w:t xml:space="preserve">220</w:t>
            </w:r>
          </w:p>
        </w:tc>
        <w:tc>
          <w:tcPr/>
          <w:p>
            <w:pPr>
              <w:pStyle w:val="Compact"/>
              <w:jc w:val="left"/>
            </w:pPr>
            <w:r>
              <w:t xml:space="preserve">17,600.00</w:t>
            </w:r>
          </w:p>
        </w:tc>
      </w:tr>
      <w:tr>
        <w:tc>
          <w:tcPr/>
          <w:p>
            <w:pPr>
              <w:pStyle w:val="Compact"/>
              <w:jc w:val="left"/>
            </w:pPr>
            <w:r>
              <w:t xml:space="preserve">2.6</w:t>
            </w:r>
          </w:p>
        </w:tc>
        <w:tc>
          <w:tcPr/>
          <w:p>
            <w:pPr>
              <w:pStyle w:val="Compact"/>
              <w:jc w:val="left"/>
            </w:pPr>
            <w:r>
              <w:t xml:space="preserve">Construction phase supervision, site inspections (minimum 12 visits), progress reporting, and coordination with the Zurich cantonal building inspector</w:t>
            </w:r>
          </w:p>
        </w:tc>
        <w:tc>
          <w:tcPr/>
          <w:p>
            <w:pPr>
              <w:pStyle w:val="Compact"/>
              <w:jc w:val="left"/>
            </w:pPr>
            <w:r>
              <w:t xml:space="preserve">Construction</w:t>
            </w:r>
          </w:p>
        </w:tc>
        <w:tc>
          <w:tcPr/>
          <w:p>
            <w:pPr>
              <w:pStyle w:val="Compact"/>
              <w:jc w:val="left"/>
            </w:pPr>
            <w:r>
              <w:t xml:space="preserve">60</w:t>
            </w:r>
          </w:p>
        </w:tc>
        <w:tc>
          <w:tcPr/>
          <w:p>
            <w:pPr>
              <w:pStyle w:val="Compact"/>
              <w:jc w:val="left"/>
            </w:pPr>
            <w:r>
              <w:t xml:space="preserve">220</w:t>
            </w:r>
          </w:p>
        </w:tc>
        <w:tc>
          <w:tcPr/>
          <w:p>
            <w:pPr>
              <w:pStyle w:val="Compact"/>
              <w:jc w:val="left"/>
            </w:pPr>
            <w:r>
              <w:t xml:space="preserve">13,200.00</w:t>
            </w:r>
          </w:p>
        </w:tc>
      </w:tr>
      <w:tr>
        <w:tc>
          <w:tcPr/>
          <w:p>
            <w:pPr>
              <w:pStyle w:val="Compact"/>
              <w:jc w:val="left"/>
            </w:pPr>
            <w:r>
              <w:t xml:space="preserve">2.7</w:t>
            </w:r>
          </w:p>
        </w:tc>
        <w:tc>
          <w:tcPr/>
          <w:p>
            <w:pPr>
              <w:pStyle w:val="Compact"/>
              <w:jc w:val="left"/>
            </w:pPr>
            <w:r>
              <w:t xml:space="preserve">Final as-built documentation, handover package, and warranty period advisory (12 months post-completion)</w:t>
            </w:r>
          </w:p>
        </w:tc>
        <w:tc>
          <w:tcPr/>
          <w:p>
            <w:pPr>
              <w:pStyle w:val="Compact"/>
              <w:jc w:val="left"/>
            </w:pPr>
            <w:r>
              <w:t xml:space="preserve">Close-Out</w:t>
            </w:r>
          </w:p>
        </w:tc>
        <w:tc>
          <w:tcPr/>
          <w:p>
            <w:pPr>
              <w:pStyle w:val="Compact"/>
              <w:jc w:val="left"/>
            </w:pPr>
            <w:r>
              <w:t xml:space="preserve">20</w:t>
            </w:r>
          </w:p>
        </w:tc>
        <w:tc>
          <w:tcPr/>
          <w:p>
            <w:pPr>
              <w:pStyle w:val="Compact"/>
              <w:jc w:val="left"/>
            </w:pPr>
            <w:r>
              <w:t xml:space="preserve">220</w:t>
            </w:r>
          </w:p>
        </w:tc>
        <w:tc>
          <w:tcPr/>
          <w:p>
            <w:pPr>
              <w:pStyle w:val="Compact"/>
              <w:jc w:val="left"/>
            </w:pPr>
            <w:r>
              <w:t xml:space="preserve">4,400.00</w:t>
            </w:r>
          </w:p>
        </w:tc>
      </w:tr>
      <w:tr>
        <w:tc>
          <w:tcPr/>
          <w:p>
            <w:pPr>
              <w:pStyle w:val="Compact"/>
              <w:jc w:val="left"/>
            </w:pPr>
            <w:r>
              <w:t xml:space="preserve">2.8</w:t>
            </w:r>
          </w:p>
        </w:tc>
        <w:tc>
          <w:tcPr/>
          <w:p>
            <w:pPr>
              <w:pStyle w:val="Compact"/>
              <w:jc w:val="left"/>
            </w:pPr>
            <w:r>
              <w:t xml:space="preserve">Interior design consultation, furniture layout planning, and landscape integration for the Zurich courtyard garden</w:t>
            </w:r>
          </w:p>
        </w:tc>
        <w:tc>
          <w:tcPr/>
          <w:p>
            <w:pPr>
              <w:pStyle w:val="Compact"/>
              <w:jc w:val="left"/>
            </w:pPr>
            <w:r>
              <w:t xml:space="preserve">Supplementary</w:t>
            </w:r>
          </w:p>
        </w:tc>
        <w:tc>
          <w:tcPr/>
          <w:p>
            <w:pPr>
              <w:pStyle w:val="Compact"/>
              <w:jc w:val="left"/>
            </w:pPr>
            <w:r>
              <w:t xml:space="preserve">30</w:t>
            </w:r>
          </w:p>
        </w:tc>
        <w:tc>
          <w:tcPr/>
          <w:p>
            <w:pPr>
              <w:pStyle w:val="Compact"/>
              <w:jc w:val="left"/>
            </w:pPr>
            <w:r>
              <w:t xml:space="preserve">195</w:t>
            </w:r>
          </w:p>
        </w:tc>
        <w:tc>
          <w:tcPr/>
          <w:p>
            <w:pPr>
              <w:pStyle w:val="Compact"/>
              <w:jc w:val="left"/>
            </w:pPr>
            <w:r>
              <w:t xml:space="preserve">5,850.00</w:t>
            </w:r>
          </w:p>
        </w:tc>
      </w:tr>
      <w:tr>
        <w:tc>
          <w:tcPr/>
          <w:p>
            <w:pPr>
              <w:pStyle w:val="Compact"/>
              <w:jc w:val="left"/>
            </w:pPr>
            <w:r>
              <w:t xml:space="preserve">2.9</w:t>
            </w:r>
          </w:p>
        </w:tc>
        <w:tc>
          <w:tcPr/>
          <w:p>
            <w:pPr>
              <w:pStyle w:val="Compact"/>
              <w:jc w:val="left"/>
            </w:pPr>
            <w:r>
              <w:t xml:space="preserve">3D photorealistic renderings (6 views) and virtual walkthrough for client presentation</w:t>
            </w:r>
          </w:p>
        </w:tc>
        <w:tc>
          <w:tcPr/>
          <w:p>
            <w:pPr>
              <w:pStyle w:val="Compact"/>
              <w:jc w:val="left"/>
            </w:pPr>
            <w:r>
              <w:t xml:space="preserve">Supplementary</w:t>
            </w:r>
          </w:p>
        </w:tc>
        <w:tc>
          <w:tcPr/>
          <w:p>
            <w:pPr>
              <w:pStyle w:val="Compact"/>
              <w:jc w:val="left"/>
            </w:pPr>
            <w:r>
              <w:t xml:space="preserve">16</w:t>
            </w:r>
          </w:p>
        </w:tc>
        <w:tc>
          <w:tcPr/>
          <w:p>
            <w:pPr>
              <w:pStyle w:val="Compact"/>
              <w:jc w:val="left"/>
            </w:pPr>
            <w:r>
              <w:t xml:space="preserve">195</w:t>
            </w:r>
          </w:p>
        </w:tc>
        <w:tc>
          <w:tcPr/>
          <w:p>
            <w:pPr>
              <w:pStyle w:val="Compact"/>
              <w:jc w:val="left"/>
            </w:pPr>
            <w:r>
              <w:t xml:space="preserve">3,120.00</w:t>
            </w:r>
          </w:p>
        </w:tc>
      </w:tr>
      <w:tr>
        <w:tc>
          <w:tcPr/>
          <w:p>
            <w:pPr>
              <w:pStyle w:val="Compact"/>
              <w:jc w:val="left"/>
            </w:pPr>
            <w:r>
              <w:t xml:space="preserve">2.10</w:t>
            </w:r>
          </w:p>
        </w:tc>
        <w:tc>
          <w:tcPr/>
          <w:p>
            <w:pPr>
              <w:pStyle w:val="Compact"/>
              <w:jc w:val="left"/>
            </w:pPr>
            <w:r>
              <w:t xml:space="preserve">Travel and local transport within the Zurich metropolitan area (ZVV zone 100) for site visits and authority meetings</w:t>
            </w:r>
          </w:p>
        </w:tc>
        <w:tc>
          <w:tcPr/>
          <w:p>
            <w:pPr>
              <w:pStyle w:val="Compact"/>
              <w:jc w:val="left"/>
            </w:pPr>
            <w:r>
              <w:t xml:space="preserve">Logistics</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gridSpan w:val="5"/>
          </w:tcPr>
          <w:p>
            <w:pPr>
              <w:pStyle w:val="Compact"/>
              <w:jc w:val="right"/>
            </w:pPr>
            <w:r>
              <w:t xml:space="preserve">Subtotal (Architect Professional Fees)</w:t>
            </w:r>
          </w:p>
        </w:tc>
        <w:tc>
          <w:tcPr/>
          <w:p>
            <w:pPr>
              <w:pStyle w:val="Compact"/>
              <w:jc w:val="left"/>
            </w:pPr>
            <w:r>
              <w:t xml:space="preserve">89,370.00</w:t>
            </w:r>
          </w:p>
        </w:tc>
      </w:tr>
      <w:tr>
        <w:tc>
          <w:tcPr>
            <w:gridSpan w:val="5"/>
          </w:tcPr>
          <w:p>
            <w:pPr>
              <w:pStyle w:val="Compact"/>
              <w:jc w:val="right"/>
            </w:pPr>
            <w:r>
              <w:t xml:space="preserve">VAT (7.7% – Swiss Standard Rate)</w:t>
            </w:r>
          </w:p>
        </w:tc>
        <w:tc>
          <w:tcPr/>
          <w:p>
            <w:pPr>
              <w:pStyle w:val="Compact"/>
              <w:jc w:val="left"/>
            </w:pPr>
            <w:r>
              <w:t xml:space="preserve">6,881.49</w:t>
            </w:r>
          </w:p>
        </w:tc>
      </w:tr>
      <w:tr>
        <w:tc>
          <w:tcPr>
            <w:gridSpan w:val="5"/>
          </w:tcPr>
          <w:p>
            <w:pPr>
              <w:pStyle w:val="Compact"/>
              <w:jc w:val="right"/>
            </w:pPr>
            <w:r>
              <w:t xml:space="preserve">TOTAL ESTIMATED COST (CHF)</w:t>
            </w:r>
          </w:p>
        </w:tc>
        <w:tc>
          <w:tcPr/>
          <w:p>
            <w:pPr>
              <w:pStyle w:val="Compact"/>
              <w:jc w:val="left"/>
            </w:pPr>
            <w:r>
              <w:t xml:space="preserve">96,251.49</w:t>
            </w:r>
          </w:p>
        </w:tc>
      </w:tr>
    </w:tbl>
    <w:bookmarkEnd w:id="23"/>
    <w:bookmarkStart w:id="24" w:name="payment-schedule"/>
    <w:p>
      <w:pPr>
        <w:pStyle w:val="Heading3"/>
      </w:pPr>
      <w:r>
        <w:t xml:space="preserve">3. Payment Schedule</w:t>
      </w:r>
    </w:p>
    <w:p>
      <w:pPr>
        <w:pStyle w:val="FirstParagraph"/>
      </w:pPr>
      <w:r>
        <w:t xml:space="preserve">The</w:t>
      </w:r>
      <w:r>
        <w:t xml:space="preserve"> </w:t>
      </w:r>
      <w:r>
        <w:t xml:space="preserve">Quotation Estimate</w:t>
      </w:r>
      <w:r>
        <w:t xml:space="preserve"> </w:t>
      </w:r>
      <w:r>
        <w:t xml:space="preserve">total shall be invoiced in the following instalments, aligned with project milestones:</w:t>
      </w:r>
    </w:p>
    <w:p>
      <w:pPr>
        <w:numPr>
          <w:ilvl w:val="0"/>
          <w:numId w:val="1001"/>
        </w:numPr>
        <w:pStyle w:val="Compact"/>
      </w:pPr>
      <w:r>
        <w:rPr>
          <w:bCs/>
          <w:b/>
        </w:rPr>
        <w:t xml:space="preserve">15%</w:t>
      </w:r>
      <w:r>
        <w:t xml:space="preserve"> </w:t>
      </w:r>
      <w:r>
        <w:t xml:space="preserve">– Upon signing of the Architect Service Agreement and receipt of the initial deposit (CHF 14,437.72)</w:t>
      </w:r>
    </w:p>
    <w:p>
      <w:pPr>
        <w:numPr>
          <w:ilvl w:val="0"/>
          <w:numId w:val="1001"/>
        </w:numPr>
        <w:pStyle w:val="Compact"/>
      </w:pPr>
      <w:r>
        <w:rPr>
          <w:bCs/>
          <w:b/>
        </w:rPr>
        <w:t xml:space="preserve">20%</w:t>
      </w:r>
      <w:r>
        <w:t xml:space="preserve"> </w:t>
      </w:r>
      <w:r>
        <w:t xml:space="preserve">– Upon approval of the Concept Design phase (CHF 19,250.30)</w:t>
      </w:r>
    </w:p>
    <w:p>
      <w:pPr>
        <w:numPr>
          <w:ilvl w:val="0"/>
          <w:numId w:val="1001"/>
        </w:numPr>
        <w:pStyle w:val="Compact"/>
      </w:pPr>
      <w:r>
        <w:rPr>
          <w:bCs/>
          <w:b/>
        </w:rPr>
        <w:t xml:space="preserve">25%</w:t>
      </w:r>
      <w:r>
        <w:t xml:space="preserve"> </w:t>
      </w:r>
      <w:r>
        <w:t xml:space="preserve">– Upon submission of planning drawings to the Zurich Building Permit Office (CHF 24,062.87)</w:t>
      </w:r>
    </w:p>
    <w:p>
      <w:pPr>
        <w:numPr>
          <w:ilvl w:val="0"/>
          <w:numId w:val="1001"/>
        </w:numPr>
        <w:pStyle w:val="Compact"/>
      </w:pPr>
      <w:r>
        <w:rPr>
          <w:bCs/>
          <w:b/>
        </w:rPr>
        <w:t xml:space="preserve">20%</w:t>
      </w:r>
      <w:r>
        <w:t xml:space="preserve"> </w:t>
      </w:r>
      <w:r>
        <w:t xml:space="preserve">– Upon issuance of the building permit and commencement of construction (CHF 19,250.30)</w:t>
      </w:r>
    </w:p>
    <w:p>
      <w:pPr>
        <w:numPr>
          <w:ilvl w:val="0"/>
          <w:numId w:val="1001"/>
        </w:numPr>
        <w:pStyle w:val="Compact"/>
      </w:pPr>
      <w:r>
        <w:rPr>
          <w:bCs/>
          <w:b/>
        </w:rPr>
        <w:t xml:space="preserve">15%</w:t>
      </w:r>
      <w:r>
        <w:t xml:space="preserve"> </w:t>
      </w:r>
      <w:r>
        <w:t xml:space="preserve">– Upon completion of construction and site handover (CHF 14,437.72)</w:t>
      </w:r>
    </w:p>
    <w:p>
      <w:pPr>
        <w:numPr>
          <w:ilvl w:val="0"/>
          <w:numId w:val="1001"/>
        </w:numPr>
        <w:pStyle w:val="Compact"/>
      </w:pPr>
      <w:r>
        <w:rPr>
          <w:bCs/>
          <w:b/>
        </w:rPr>
        <w:t xml:space="preserve">5%</w:t>
      </w:r>
      <w:r>
        <w:t xml:space="preserve"> </w:t>
      </w:r>
      <w:r>
        <w:t xml:space="preserve">– Upon final close-out and delivery of as-built documentation (CHF 4,812.58)</w:t>
      </w:r>
    </w:p>
    <w:bookmarkEnd w:id="24"/>
    <w:bookmarkStart w:id="25" w:name="terms-and-conditions"/>
    <w:p>
      <w:pPr>
        <w:pStyle w:val="Heading3"/>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a non-binding estimate of professional fees. Final costs may vary by up to ±10% depending on design complexity, regulatory changes by the Canton of Zurich, or client-requested revisions exceeding three (3) iterations per phase.</w:t>
      </w:r>
    </w:p>
    <w:p>
      <w:pPr>
        <w:numPr>
          <w:ilvl w:val="0"/>
          <w:numId w:val="1002"/>
        </w:numPr>
        <w:pStyle w:val="Compact"/>
      </w:pPr>
      <w:r>
        <w:t xml:space="preserve">All</w:t>
      </w:r>
      <w:r>
        <w:t xml:space="preserve"> </w:t>
      </w:r>
      <w:r>
        <w:t xml:space="preserve">Architect</w:t>
      </w:r>
      <w:r>
        <w:t xml:space="preserve"> </w:t>
      </w:r>
      <w:r>
        <w:t xml:space="preserve">services shall be performed by or under the direct supervision of a licensed Architect registered with the Swiss Federal Office of Justice (SIA member). The lead Architect for this project is Dipl. Ing. ETH / SIA, Mr. Lukas Brenner.</w:t>
      </w:r>
    </w:p>
    <w:p>
      <w:pPr>
        <w:numPr>
          <w:ilvl w:val="0"/>
          <w:numId w:val="1002"/>
        </w:numPr>
        <w:pStyle w:val="Compact"/>
      </w:pPr>
      <w:r>
        <w:t xml:space="preserve">The</w:t>
      </w:r>
      <w:r>
        <w:t xml:space="preserve"> </w:t>
      </w:r>
      <w:r>
        <w:t xml:space="preserve">Architect</w:t>
      </w:r>
      <w:r>
        <w:t xml:space="preserve"> </w:t>
      </w:r>
      <w:r>
        <w:t xml:space="preserve">shall comply with all applicable Swiss federal and cantonal regulations, including the Swiss Code of Obligations (OR), the Federal Act on the Free Movement of Persons, and the Zurich-specific building and zoning ordinances (Zonenplan Stadt Zürich).</w:t>
      </w:r>
    </w:p>
    <w:p>
      <w:pPr>
        <w:numPr>
          <w:ilvl w:val="0"/>
          <w:numId w:val="1002"/>
        </w:numPr>
        <w:pStyle w:val="Compact"/>
      </w:pPr>
      <w:r>
        <w:t xml:space="preserve">Intellectual property: All drawings, models, and design documents produced by the</w:t>
      </w:r>
      <w:r>
        <w:t xml:space="preserve"> </w:t>
      </w:r>
      <w:r>
        <w:t xml:space="preserve">Architect</w:t>
      </w:r>
      <w:r>
        <w:t xml:space="preserve"> </w:t>
      </w:r>
      <w:r>
        <w:t xml:space="preserve">remain the property of Studio Meridian Architekten AG until full payment is received. The client receives a non-exclusive licence to use the designs for the specific project in</w:t>
      </w:r>
      <w:r>
        <w:t xml:space="preserve"> </w:t>
      </w:r>
      <w:r>
        <w:t xml:space="preserve">Switzerland Zurich</w:t>
      </w:r>
      <w:r>
        <w:t xml:space="preserve">.</w:t>
      </w:r>
    </w:p>
    <w:p>
      <w:pPr>
        <w:numPr>
          <w:ilvl w:val="0"/>
          <w:numId w:val="1002"/>
        </w:numPr>
        <w:pStyle w:val="Compact"/>
      </w:pPr>
      <w:r>
        <w:t xml:space="preserve">Liability: The</w:t>
      </w:r>
      <w:r>
        <w:t xml:space="preserve"> </w:t>
      </w:r>
      <w:r>
        <w:t xml:space="preserve">Architect</w:t>
      </w:r>
      <w:r>
        <w:t xml:space="preserve">'s professional liability is capped at the total professional fees stated in this</w:t>
      </w:r>
      <w:r>
        <w:t xml:space="preserve"> </w:t>
      </w:r>
      <w:r>
        <w:t xml:space="preserve">Quotation Estimate</w:t>
      </w:r>
      <w:r>
        <w:t xml:space="preserve">, in accordance with SIA 118 (Contract for Architectural Services). The firm maintains professional indemnity insurance with a coverage of CHF 5,000,000 per claim.</w:t>
      </w:r>
    </w:p>
    <w:p>
      <w:pPr>
        <w:numPr>
          <w:ilvl w:val="0"/>
          <w:numId w:val="1002"/>
        </w:numPr>
        <w:pStyle w:val="Compact"/>
      </w:pPr>
      <w:r>
        <w:t xml:space="preserve">Dispute resolution: Any disputes arising from this engagement shall be resolved through mediation under the Swiss Rules of Mediation, with the seat of mediation in Zurich, Switzerland. If mediation fails, the competent courts of the Canton of Zurich shall have exclusive jurisdiction.</w:t>
      </w:r>
    </w:p>
    <w:p>
      <w:pPr>
        <w:numPr>
          <w:ilvl w:val="0"/>
          <w:numId w:val="1002"/>
        </w:numPr>
        <w:pStyle w:val="Compact"/>
      </w:pPr>
      <w:r>
        <w:t xml:space="preserve">This</w:t>
      </w:r>
      <w:r>
        <w:t xml:space="preserve"> </w:t>
      </w:r>
      <w:r>
        <w:t xml:space="preserve">Quotation Estimate</w:t>
      </w:r>
      <w:r>
        <w:t xml:space="preserve"> </w:t>
      </w:r>
      <w:r>
        <w:t xml:space="preserve">is valid for ninety (90) days from the date of issue. After expiry, rates and availability must be reconfirmed in writing.</w:t>
      </w:r>
    </w:p>
    <w:p>
      <w:pPr>
        <w:numPr>
          <w:ilvl w:val="0"/>
          <w:numId w:val="1002"/>
        </w:numPr>
        <w:pStyle w:val="Compact"/>
      </w:pPr>
      <w:r>
        <w:t xml:space="preserve">The</w:t>
      </w:r>
      <w:r>
        <w:t xml:space="preserve"> </w:t>
      </w:r>
      <w:r>
        <w:t xml:space="preserve">Architect</w:t>
      </w:r>
      <w:r>
        <w:t xml:space="preserve"> </w:t>
      </w:r>
      <w:r>
        <w:t xml:space="preserve">reserves the right to decline or modify services if the project scope changes materially from the description provided in this document, in which case a revised</w:t>
      </w:r>
      <w:r>
        <w:t xml:space="preserve"> </w:t>
      </w:r>
      <w:r>
        <w:t xml:space="preserve">Quotation Estimate</w:t>
      </w:r>
      <w:r>
        <w:t xml:space="preserve"> </w:t>
      </w:r>
      <w:r>
        <w:t xml:space="preserve">shall be issued.</w:t>
      </w:r>
    </w:p>
    <w:p>
      <w:pPr>
        <w:numPr>
          <w:ilvl w:val="0"/>
          <w:numId w:val="1002"/>
        </w:numPr>
        <w:pStyle w:val="Compact"/>
      </w:pPr>
      <w:r>
        <w:t xml:space="preserve">All communications regarding this project shall be conducted in English or German. Official submissions to the Zurich municipal authorities shall be prepared in German as required by the Canton of Zurich administrative regulations.</w:t>
      </w:r>
    </w:p>
    <w:bookmarkEnd w:id="25"/>
    <w:bookmarkStart w:id="26" w:name="acceptance"/>
    <w:p>
      <w:pPr>
        <w:pStyle w:val="Heading3"/>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The</w:t>
      </w:r>
      <w:r>
        <w:t xml:space="preserve"> </w:t>
      </w:r>
      <w:r>
        <w:t xml:space="preserve">Architect</w:t>
      </w:r>
      <w:r>
        <w:t xml:space="preserve"> </w:t>
      </w:r>
      <w:r>
        <w:t xml:space="preserve">service agreement shall be formalised in a separate written contract within fourteen (14) days of acceptance.</w:t>
      </w:r>
    </w:p>
    <w:p>
      <w:pPr>
        <w:pStyle w:val="BodyText"/>
      </w:pPr>
      <w:r>
        <w:rPr>
          <w:bCs/>
          <w:b/>
        </w:rPr>
        <w:t xml:space="preserve">For Studio Meridian Architekten AG (Architect)</w:t>
      </w:r>
    </w:p>
    <w:p>
      <w:pPr>
        <w:pStyle w:val="BodyText"/>
      </w:pPr>
      <w:r>
        <w:t xml:space="preserve">Name: Lukas Brenner, Dipl. Ing. ETH / SIA</w:t>
      </w:r>
    </w:p>
    <w:p>
      <w:pPr>
        <w:pStyle w:val="BodyText"/>
      </w:pPr>
      <w:r>
        <w:t xml:space="preserve">Title: Lead Architect</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Studio Meridian Architekten AG · Bahnhofstrasse 142, 8001 Zurich, Switzerland · Tel: +41 44 555 0192 · Email: info@meridian-architekten.ch</w:t>
      </w:r>
    </w:p>
    <w:p>
      <w:pPr>
        <w:pStyle w:val="BodyText"/>
      </w:pPr>
      <w:r>
        <w:t xml:space="preserve">Swiss UID: CHE-123.456.789 · SIA Member No. 48291 · Canton of Zurich Building Authority Registration: BZ-2019-0042</w:t>
      </w:r>
    </w:p>
    <w:p>
      <w:pPr>
        <w:pStyle w:val="BodyText"/>
      </w:pPr>
      <w:r>
        <w:t xml:space="preserve">This Quotation Estimate document was prepared exclusively for the named client and the specified project in Switzerland Zurich. It may not be reproduced or distributed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Switzerland Zurich</dc:title>
  <dc:creator/>
  <dc:language>en</dc:language>
  <cp:keywords/>
  <dcterms:created xsi:type="dcterms:W3CDTF">2026-10-10T07:24:25Z</dcterms:created>
  <dcterms:modified xsi:type="dcterms:W3CDTF">2026-10-10T07:24:25Z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