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Architect</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quotation-estimate"/>
    <w:p>
      <w:pPr>
        <w:pStyle w:val="Heading1"/>
      </w:pPr>
      <w:r>
        <w:t xml:space="preserve">Quotation Estimate</w:t>
      </w:r>
    </w:p>
    <w:p>
      <w:pPr>
        <w:pStyle w:val="FirstParagraph"/>
      </w:pPr>
      <w:r>
        <w:t xml:space="preserve">Professional Architect Services — Thailand Bangkok</w:t>
      </w:r>
    </w:p>
    <w:p>
      <w:pPr>
        <w:pStyle w:val="BodyText"/>
      </w:pPr>
      <w:r>
        <w:t xml:space="preserve">Ref: QTE-BKK-2025-0472</w:t>
      </w:r>
    </w:p>
    <w:bookmarkEnd w:id="20"/>
    <w:bookmarkStart w:id="21" w:name="architect-firm-provider"/>
    <w:p>
      <w:pPr>
        <w:pStyle w:val="Heading3"/>
      </w:pPr>
      <w:r>
        <w:t xml:space="preserve">Architect Firm (Provider)</w:t>
      </w:r>
    </w:p>
    <w:p>
      <w:pPr>
        <w:pStyle w:val="FirstParagraph"/>
      </w:pPr>
      <w:r>
        <w:rPr>
          <w:bCs/>
          <w:b/>
        </w:rPr>
        <w:t xml:space="preserve">Chulalongkorn Architectural Design Studio Co., Ltd.</w:t>
      </w:r>
    </w:p>
    <w:p>
      <w:pPr>
        <w:pStyle w:val="BodyText"/>
      </w:pPr>
      <w:r>
        <w:t xml:space="preserve">128 Sukhumvit Road, Khlong Toei</w:t>
      </w:r>
    </w:p>
    <w:p>
      <w:pPr>
        <w:pStyle w:val="BodyText"/>
      </w:pPr>
      <w:r>
        <w:t xml:space="preserve">Bangkok 10110, Thailand</w:t>
      </w:r>
    </w:p>
    <w:p>
      <w:pPr>
        <w:pStyle w:val="BodyText"/>
      </w:pPr>
      <w:r>
        <w:t xml:space="preserve">Tel: +66 (0) 2 255 8800</w:t>
      </w:r>
    </w:p>
    <w:p>
      <w:pPr>
        <w:pStyle w:val="BodyText"/>
      </w:pPr>
      <w:r>
        <w:t xml:space="preserve">Email: estimates@chulaarch-bkk.co.th</w:t>
      </w:r>
    </w:p>
    <w:p>
      <w:pPr>
        <w:pStyle w:val="BodyText"/>
      </w:pPr>
      <w:r>
        <w:t xml:space="preserve">Architect License No: TH-ARC-2019-004521</w:t>
      </w:r>
    </w:p>
    <w:bookmarkEnd w:id="21"/>
    <w:bookmarkStart w:id="22" w:name="client-project-owner"/>
    <w:p>
      <w:pPr>
        <w:pStyle w:val="Heading3"/>
      </w:pPr>
      <w:r>
        <w:t xml:space="preserve">Client / Project Owner</w:t>
      </w:r>
    </w:p>
    <w:p>
      <w:pPr>
        <w:pStyle w:val="FirstParagraph"/>
      </w:pPr>
      <w:r>
        <w:rPr>
          <w:bCs/>
          <w:b/>
        </w:rPr>
        <w:t xml:space="preserve">Mr. Somchai Prasert</w:t>
      </w:r>
    </w:p>
    <w:p>
      <w:pPr>
        <w:pStyle w:val="BodyText"/>
      </w:pPr>
      <w:r>
        <w:t xml:space="preserve">45/12 Ratchaprasong Avenue, Pathum Wan</w:t>
      </w:r>
    </w:p>
    <w:p>
      <w:pPr>
        <w:pStyle w:val="BodyText"/>
      </w:pPr>
      <w:r>
        <w:t xml:space="preserve">Bangkok 10330, Thailand</w:t>
      </w:r>
    </w:p>
    <w:p>
      <w:pPr>
        <w:pStyle w:val="BodyText"/>
      </w:pPr>
      <w:r>
        <w:t xml:space="preserve">Tel: +66 (0) 89 123 4567</w:t>
      </w:r>
    </w:p>
    <w:p>
      <w:pPr>
        <w:pStyle w:val="BodyText"/>
      </w:pPr>
      <w:r>
        <w:t xml:space="preserve">Email: somchai.prasert@email.com</w:t>
      </w:r>
    </w:p>
    <w:bookmarkEnd w:id="22"/>
    <w:bookmarkStart w:id="23" w:name="quotation-details"/>
    <w:p>
      <w:pPr>
        <w:pStyle w:val="Heading3"/>
      </w:pPr>
      <w:r>
        <w:t xml:space="preserve">Quotation Details</w:t>
      </w:r>
    </w:p>
    <w:p>
      <w:pPr>
        <w:pStyle w:val="FirstParagraph"/>
      </w:pPr>
      <w:r>
        <w:rPr>
          <w:bCs/>
          <w:b/>
        </w:rPr>
        <w:t xml:space="preserve">Date of Issue:</w:t>
      </w:r>
      <w:r>
        <w:t xml:space="preserve"> </w:t>
      </w:r>
      <w:r>
        <w:t xml:space="preserve">15 June 2025</w:t>
      </w:r>
    </w:p>
    <w:p>
      <w:pPr>
        <w:pStyle w:val="BodyText"/>
      </w:pPr>
      <w:r>
        <w:rPr>
          <w:bCs/>
          <w:b/>
        </w:rPr>
        <w:t xml:space="preserve">Quotation Valid Until:</w:t>
      </w:r>
      <w:r>
        <w:t xml:space="preserve"> </w:t>
      </w:r>
      <w:r>
        <w:t xml:space="preserve">15 July 2025 (30 days)</w:t>
      </w:r>
    </w:p>
    <w:p>
      <w:pPr>
        <w:pStyle w:val="BodyText"/>
      </w:pPr>
      <w:r>
        <w:rPr>
          <w:bCs/>
          <w:b/>
        </w:rPr>
        <w:t xml:space="preserve">Currency:</w:t>
      </w:r>
      <w:r>
        <w:t xml:space="preserve"> </w:t>
      </w:r>
      <w:r>
        <w:t xml:space="preserve">Thai Baht (THB)</w:t>
      </w:r>
    </w:p>
    <w:bookmarkEnd w:id="23"/>
    <w:bookmarkStart w:id="24" w:name="project-location"/>
    <w:p>
      <w:pPr>
        <w:pStyle w:val="Heading3"/>
      </w:pPr>
      <w:r>
        <w:t xml:space="preserve">Project Location</w:t>
      </w:r>
    </w:p>
    <w:p>
      <w:pPr>
        <w:pStyle w:val="FirstParagraph"/>
      </w:pPr>
      <w:r>
        <w:rPr>
          <w:bCs/>
          <w:b/>
        </w:rPr>
        <w:t xml:space="preserve">Site Address:</w:t>
      </w:r>
      <w:r>
        <w:t xml:space="preserve"> </w:t>
      </w:r>
      <w:r>
        <w:t xml:space="preserve">88/3 Sathorn Nuea Road</w:t>
      </w:r>
    </w:p>
    <w:p>
      <w:pPr>
        <w:pStyle w:val="BodyText"/>
      </w:pPr>
      <w:r>
        <w:t xml:space="preserve">Yannawa, Sathon District</w:t>
      </w:r>
    </w:p>
    <w:p>
      <w:pPr>
        <w:pStyle w:val="BodyText"/>
      </w:pPr>
      <w:r>
        <w:t xml:space="preserve">Bangkok 10120, Thailand</w:t>
      </w:r>
    </w:p>
    <w:p>
      <w:pPr>
        <w:pStyle w:val="BodyText"/>
      </w:pPr>
      <w:r>
        <w:rPr>
          <w:bCs/>
          <w:b/>
        </w:rPr>
        <w:t xml:space="preserve">Plot Area:</w:t>
      </w:r>
      <w:r>
        <w:t xml:space="preserve"> </w:t>
      </w:r>
      <w:r>
        <w:t xml:space="preserve">420 sqm</w:t>
      </w:r>
    </w:p>
    <w:bookmarkEnd w:id="24"/>
    <w:p>
      <w:pPr>
        <w:pStyle w:val="BodyText"/>
      </w:pPr>
      <w:r>
        <w:t xml:space="preserve">1. Project Description &amp; Scope of Architect Services</w:t>
      </w:r>
    </w:p>
    <w:p>
      <w:pPr>
        <w:pStyle w:val="BodyText"/>
      </w:pPr>
      <w:r>
        <w:t xml:space="preserve">This Quotation Estimate is issued by Chulalongkorn Architectural Design Studio Co., Ltd., a licensed Architect firm registered under the Thai Ministry of Higher Education, Science, Research and Innovation, to provide comprehensive Architect services for the design and development of a mixed-use residential and commercial building located in the Sathon District of Thailand Bangkok. The proposed structure shall consist of a ground-floor retail space, four upper residential floors, and a rooftop terrace, in full compliance with the Bangkok Metropolitan Administration (BMA) building regulations and the National Building Code of Thailand.</w:t>
      </w:r>
    </w:p>
    <w:p>
      <w:pPr>
        <w:pStyle w:val="BodyText"/>
      </w:pPr>
      <w:r>
        <w:t xml:space="preserve">2. Itemized Quotation Estimate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Architect Service</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Amount (THB)</w:t>
            </w:r>
          </w:p>
        </w:tc>
      </w:tr>
      <w:tr>
        <w:tc>
          <w:tcPr/>
          <w:p>
            <w:pPr>
              <w:pStyle w:val="Compact"/>
              <w:jc w:val="left"/>
            </w:pPr>
            <w:r>
              <w:t xml:space="preserve">1</w:t>
            </w:r>
          </w:p>
        </w:tc>
        <w:tc>
          <w:tcPr/>
          <w:p>
            <w:pPr>
              <w:pStyle w:val="Compact"/>
              <w:jc w:val="left"/>
            </w:pPr>
            <w:r>
              <w:t xml:space="preserve">Pre-design consultation, site survey, and feasibility study in Thailand Bangkok</w:t>
            </w:r>
          </w:p>
        </w:tc>
        <w:tc>
          <w:tcPr/>
          <w:p>
            <w:pPr>
              <w:pStyle w:val="Compact"/>
              <w:jc w:val="left"/>
            </w:pPr>
            <w:r>
              <w:t xml:space="preserve">2 weeks</w:t>
            </w:r>
          </w:p>
        </w:tc>
        <w:tc>
          <w:tcPr/>
          <w:p>
            <w:pPr>
              <w:pStyle w:val="Compact"/>
              <w:jc w:val="left"/>
            </w:pPr>
            <w:r>
              <w:t xml:space="preserve">Lump Sum</w:t>
            </w:r>
          </w:p>
        </w:tc>
        <w:tc>
          <w:tcPr/>
          <w:p>
            <w:pPr>
              <w:pStyle w:val="Compact"/>
              <w:jc w:val="left"/>
            </w:pPr>
            <w:r>
              <w:t xml:space="preserve">85,000</w:t>
            </w:r>
          </w:p>
        </w:tc>
      </w:tr>
      <w:tr>
        <w:tc>
          <w:tcPr/>
          <w:p>
            <w:pPr>
              <w:pStyle w:val="Compact"/>
              <w:jc w:val="left"/>
            </w:pPr>
            <w:r>
              <w:t xml:space="preserve">2</w:t>
            </w:r>
          </w:p>
        </w:tc>
        <w:tc>
          <w:tcPr/>
          <w:p>
            <w:pPr>
              <w:pStyle w:val="Compact"/>
              <w:jc w:val="left"/>
            </w:pPr>
            <w:r>
              <w:t xml:space="preserve">Concept design development including 3D massing studies and material palette</w:t>
            </w:r>
          </w:p>
        </w:tc>
        <w:tc>
          <w:tcPr/>
          <w:p>
            <w:pPr>
              <w:pStyle w:val="Compact"/>
              <w:jc w:val="left"/>
            </w:pPr>
            <w:r>
              <w:t xml:space="preserve">4 weeks</w:t>
            </w:r>
          </w:p>
        </w:tc>
        <w:tc>
          <w:tcPr/>
          <w:p>
            <w:pPr>
              <w:pStyle w:val="Compact"/>
              <w:jc w:val="left"/>
            </w:pPr>
            <w:r>
              <w:t xml:space="preserve">Lump Sum</w:t>
            </w:r>
          </w:p>
        </w:tc>
        <w:tc>
          <w:tcPr/>
          <w:p>
            <w:pPr>
              <w:pStyle w:val="Compact"/>
              <w:jc w:val="left"/>
            </w:pPr>
            <w:r>
              <w:t xml:space="preserve">220,000</w:t>
            </w:r>
          </w:p>
        </w:tc>
      </w:tr>
      <w:tr>
        <w:tc>
          <w:tcPr/>
          <w:p>
            <w:pPr>
              <w:pStyle w:val="Compact"/>
              <w:jc w:val="left"/>
            </w:pPr>
            <w:r>
              <w:t xml:space="preserve">3</w:t>
            </w:r>
          </w:p>
        </w:tc>
        <w:tc>
          <w:tcPr/>
          <w:p>
            <w:pPr>
              <w:pStyle w:val="Compact"/>
              <w:jc w:val="left"/>
            </w:pPr>
            <w:r>
              <w:t xml:space="preserve">Schematic design package (floor plans, elevations, sections) for BMA submission</w:t>
            </w:r>
          </w:p>
        </w:tc>
        <w:tc>
          <w:tcPr/>
          <w:p>
            <w:pPr>
              <w:pStyle w:val="Compact"/>
              <w:jc w:val="left"/>
            </w:pPr>
            <w:r>
              <w:t xml:space="preserve">6 weeks</w:t>
            </w:r>
          </w:p>
        </w:tc>
        <w:tc>
          <w:tcPr/>
          <w:p>
            <w:pPr>
              <w:pStyle w:val="Compact"/>
              <w:jc w:val="left"/>
            </w:pPr>
            <w:r>
              <w:t xml:space="preserve">Lump Sum</w:t>
            </w:r>
          </w:p>
        </w:tc>
        <w:tc>
          <w:tcPr/>
          <w:p>
            <w:pPr>
              <w:pStyle w:val="Compact"/>
              <w:jc w:val="left"/>
            </w:pPr>
            <w:r>
              <w:t xml:space="preserve">350,000</w:t>
            </w:r>
          </w:p>
        </w:tc>
      </w:tr>
      <w:tr>
        <w:tc>
          <w:tcPr/>
          <w:p>
            <w:pPr>
              <w:pStyle w:val="Compact"/>
              <w:jc w:val="left"/>
            </w:pPr>
            <w:r>
              <w:t xml:space="preserve">4</w:t>
            </w:r>
          </w:p>
        </w:tc>
        <w:tc>
          <w:tcPr/>
          <w:p>
            <w:pPr>
              <w:pStyle w:val="Compact"/>
              <w:jc w:val="left"/>
            </w:pPr>
            <w:r>
              <w:t xml:space="preserve">Detailed Architectural Design and construction drawing set (1:50, 1:100, 1:200 scales)</w:t>
            </w:r>
          </w:p>
        </w:tc>
        <w:tc>
          <w:tcPr/>
          <w:p>
            <w:pPr>
              <w:pStyle w:val="Compact"/>
              <w:jc w:val="left"/>
            </w:pPr>
            <w:r>
              <w:t xml:space="preserve">8 weeks</w:t>
            </w:r>
          </w:p>
        </w:tc>
        <w:tc>
          <w:tcPr/>
          <w:p>
            <w:pPr>
              <w:pStyle w:val="Compact"/>
              <w:jc w:val="left"/>
            </w:pPr>
            <w:r>
              <w:t xml:space="preserve">Lump Sum</w:t>
            </w:r>
          </w:p>
        </w:tc>
        <w:tc>
          <w:tcPr/>
          <w:p>
            <w:pPr>
              <w:pStyle w:val="Compact"/>
              <w:jc w:val="left"/>
            </w:pPr>
            <w:r>
              <w:t xml:space="preserve">520,000</w:t>
            </w:r>
          </w:p>
        </w:tc>
      </w:tr>
      <w:tr>
        <w:tc>
          <w:tcPr/>
          <w:p>
            <w:pPr>
              <w:pStyle w:val="Compact"/>
              <w:jc w:val="left"/>
            </w:pPr>
            <w:r>
              <w:t xml:space="preserve">5</w:t>
            </w:r>
          </w:p>
        </w:tc>
        <w:tc>
          <w:tcPr/>
          <w:p>
            <w:pPr>
              <w:pStyle w:val="Compact"/>
              <w:jc w:val="left"/>
            </w:pPr>
            <w:r>
              <w:t xml:space="preserve">Structural, MEP, and landscape coordination drawings</w:t>
            </w:r>
          </w:p>
        </w:tc>
        <w:tc>
          <w:tcPr/>
          <w:p>
            <w:pPr>
              <w:pStyle w:val="Compact"/>
              <w:jc w:val="left"/>
            </w:pPr>
            <w:r>
              <w:t xml:space="preserve">6 weeks</w:t>
            </w:r>
          </w:p>
        </w:tc>
        <w:tc>
          <w:tcPr/>
          <w:p>
            <w:pPr>
              <w:pStyle w:val="Compact"/>
              <w:jc w:val="left"/>
            </w:pPr>
            <w:r>
              <w:t xml:space="preserve">Lump Sum</w:t>
            </w:r>
          </w:p>
        </w:tc>
        <w:tc>
          <w:tcPr/>
          <w:p>
            <w:pPr>
              <w:pStyle w:val="Compact"/>
              <w:jc w:val="left"/>
            </w:pPr>
            <w:r>
              <w:t xml:space="preserve">280,000</w:t>
            </w:r>
          </w:p>
        </w:tc>
      </w:tr>
      <w:tr>
        <w:tc>
          <w:tcPr/>
          <w:p>
            <w:pPr>
              <w:pStyle w:val="Compact"/>
              <w:jc w:val="left"/>
            </w:pPr>
            <w:r>
              <w:t xml:space="preserve">6</w:t>
            </w:r>
          </w:p>
        </w:tc>
        <w:tc>
          <w:tcPr/>
          <w:p>
            <w:pPr>
              <w:pStyle w:val="Compact"/>
              <w:jc w:val="left"/>
            </w:pPr>
            <w:r>
              <w:t xml:space="preserve">Permit application support and liaison with Bangkok Metropolitan Administration</w:t>
            </w:r>
          </w:p>
        </w:tc>
        <w:tc>
          <w:tcPr/>
          <w:p>
            <w:pPr>
              <w:pStyle w:val="Compact"/>
              <w:jc w:val="left"/>
            </w:pPr>
            <w:r>
              <w:t xml:space="preserve">4 weeks</w:t>
            </w:r>
          </w:p>
        </w:tc>
        <w:tc>
          <w:tcPr/>
          <w:p>
            <w:pPr>
              <w:pStyle w:val="Compact"/>
              <w:jc w:val="left"/>
            </w:pPr>
            <w:r>
              <w:t xml:space="preserve">Lump Sum</w:t>
            </w:r>
          </w:p>
        </w:tc>
        <w:tc>
          <w:tcPr/>
          <w:p>
            <w:pPr>
              <w:pStyle w:val="Compact"/>
              <w:jc w:val="left"/>
            </w:pPr>
            <w:r>
              <w:t xml:space="preserve">120,000</w:t>
            </w:r>
          </w:p>
        </w:tc>
      </w:tr>
      <w:tr>
        <w:tc>
          <w:tcPr/>
          <w:p>
            <w:pPr>
              <w:pStyle w:val="Compact"/>
              <w:jc w:val="left"/>
            </w:pPr>
            <w:r>
              <w:t xml:space="preserve">7</w:t>
            </w:r>
          </w:p>
        </w:tc>
        <w:tc>
          <w:tcPr/>
          <w:p>
            <w:pPr>
              <w:pStyle w:val="Compact"/>
              <w:jc w:val="left"/>
            </w:pPr>
            <w:r>
              <w:t xml:space="preserve">Construction-phase Architect supervision and site inspections (bi-weekly)</w:t>
            </w:r>
          </w:p>
        </w:tc>
        <w:tc>
          <w:tcPr/>
          <w:p>
            <w:pPr>
              <w:pStyle w:val="Compact"/>
              <w:jc w:val="left"/>
            </w:pPr>
            <w:r>
              <w:t xml:space="preserve">12 months</w:t>
            </w:r>
          </w:p>
        </w:tc>
        <w:tc>
          <w:tcPr/>
          <w:p>
            <w:pPr>
              <w:pStyle w:val="Compact"/>
              <w:jc w:val="left"/>
            </w:pPr>
            <w:r>
              <w:t xml:space="preserve">Monthly</w:t>
            </w:r>
          </w:p>
        </w:tc>
        <w:tc>
          <w:tcPr/>
          <w:p>
            <w:pPr>
              <w:pStyle w:val="Compact"/>
              <w:jc w:val="left"/>
            </w:pPr>
            <w:r>
              <w:t xml:space="preserve">480,000</w:t>
            </w:r>
          </w:p>
        </w:tc>
      </w:tr>
      <w:tr>
        <w:tc>
          <w:tcPr/>
          <w:p>
            <w:pPr>
              <w:pStyle w:val="Compact"/>
              <w:jc w:val="left"/>
            </w:pPr>
            <w:r>
              <w:t xml:space="preserve">8</w:t>
            </w:r>
          </w:p>
        </w:tc>
        <w:tc>
          <w:tcPr/>
          <w:p>
            <w:pPr>
              <w:pStyle w:val="Compact"/>
              <w:jc w:val="left"/>
            </w:pPr>
            <w:r>
              <w:t xml:space="preserve">Interior design concept for ground-floor retail and rooftop terrace</w:t>
            </w:r>
          </w:p>
        </w:tc>
        <w:tc>
          <w:tcPr/>
          <w:p>
            <w:pPr>
              <w:pStyle w:val="Compact"/>
              <w:jc w:val="left"/>
            </w:pPr>
            <w:r>
              <w:t xml:space="preserve">4 weeks</w:t>
            </w:r>
          </w:p>
        </w:tc>
        <w:tc>
          <w:tcPr/>
          <w:p>
            <w:pPr>
              <w:pStyle w:val="Compact"/>
              <w:jc w:val="left"/>
            </w:pPr>
            <w:r>
              <w:t xml:space="preserve">Lump Sum</w:t>
            </w:r>
          </w:p>
        </w:tc>
        <w:tc>
          <w:tcPr/>
          <w:p>
            <w:pPr>
              <w:pStyle w:val="Compact"/>
              <w:jc w:val="left"/>
            </w:pPr>
            <w:r>
              <w:t xml:space="preserve">195,000</w:t>
            </w:r>
          </w:p>
        </w:tc>
      </w:tr>
      <w:tr>
        <w:tc>
          <w:tcPr/>
          <w:p>
            <w:pPr>
              <w:pStyle w:val="Compact"/>
              <w:jc w:val="left"/>
            </w:pPr>
            <w:r>
              <w:t xml:space="preserve">9</w:t>
            </w:r>
          </w:p>
        </w:tc>
        <w:tc>
          <w:tcPr/>
          <w:p>
            <w:pPr>
              <w:pStyle w:val="Compact"/>
              <w:jc w:val="left"/>
            </w:pPr>
            <w:r>
              <w:t xml:space="preserve">As-built documentation and final handover package</w:t>
            </w:r>
          </w:p>
        </w:tc>
        <w:tc>
          <w:tcPr/>
          <w:p>
            <w:pPr>
              <w:pStyle w:val="Compact"/>
              <w:jc w:val="left"/>
            </w:pPr>
            <w:r>
              <w:t xml:space="preserve">3 weeks</w:t>
            </w:r>
          </w:p>
        </w:tc>
        <w:tc>
          <w:tcPr/>
          <w:p>
            <w:pPr>
              <w:pStyle w:val="Compact"/>
              <w:jc w:val="left"/>
            </w:pPr>
            <w:r>
              <w:t xml:space="preserve">Lump Sum</w:t>
            </w:r>
          </w:p>
        </w:tc>
        <w:tc>
          <w:tcPr/>
          <w:p>
            <w:pPr>
              <w:pStyle w:val="Compact"/>
              <w:jc w:val="left"/>
            </w:pPr>
            <w:r>
              <w:t xml:space="preserve">95,000</w:t>
            </w:r>
          </w:p>
        </w:tc>
      </w:tr>
      <w:tr>
        <w:tc>
          <w:tcPr/>
          <w:p>
            <w:pPr>
              <w:pStyle w:val="Compact"/>
              <w:jc w:val="left"/>
            </w:pPr>
            <w:r>
              <w:t xml:space="preserve">10</w:t>
            </w:r>
          </w:p>
        </w:tc>
        <w:tc>
          <w:tcPr/>
          <w:p>
            <w:pPr>
              <w:pStyle w:val="Compact"/>
              <w:jc w:val="left"/>
            </w:pPr>
            <w:r>
              <w:t xml:space="preserve">Revisions (up to 3 rounds per design phase) and client presentation meetings</w:t>
            </w:r>
          </w:p>
        </w:tc>
        <w:tc>
          <w:tcPr/>
          <w:p>
            <w:pPr>
              <w:pStyle w:val="Compact"/>
              <w:jc w:val="left"/>
            </w:pPr>
            <w:r>
              <w:t xml:space="preserve">Ongoing</w:t>
            </w:r>
          </w:p>
        </w:tc>
        <w:tc>
          <w:tcPr/>
          <w:p>
            <w:pPr>
              <w:pStyle w:val="Compact"/>
              <w:jc w:val="left"/>
            </w:pPr>
            <w:r>
              <w:t xml:space="preserve">Included</w:t>
            </w:r>
          </w:p>
        </w:tc>
        <w:tc>
          <w:tcPr/>
          <w:p>
            <w:pPr>
              <w:pStyle w:val="Compact"/>
              <w:jc w:val="left"/>
            </w:pPr>
            <w:r>
              <w:t xml:space="preserve">0</w:t>
            </w:r>
          </w:p>
        </w:tc>
      </w:tr>
      <w:tr>
        <w:tc>
          <w:tcPr>
            <w:gridSpan w:val="4"/>
          </w:tcPr>
          <w:p>
            <w:pPr>
              <w:pStyle w:val="Compact"/>
              <w:jc w:val="right"/>
            </w:pPr>
            <w:r>
              <w:t xml:space="preserve">Subtotal</w:t>
            </w:r>
          </w:p>
        </w:tc>
        <w:tc>
          <w:tcPr/>
          <w:p>
            <w:pPr>
              <w:pStyle w:val="Compact"/>
              <w:jc w:val="left"/>
            </w:pPr>
            <w:r>
              <w:t xml:space="preserve">2,345,000</w:t>
            </w:r>
          </w:p>
        </w:tc>
      </w:tr>
      <w:tr>
        <w:tc>
          <w:tcPr>
            <w:gridSpan w:val="4"/>
          </w:tcPr>
          <w:p>
            <w:pPr>
              <w:pStyle w:val="Compact"/>
              <w:jc w:val="right"/>
            </w:pPr>
            <w:r>
              <w:t xml:space="preserve">VAT (7% as per Thai Revenue Code)</w:t>
            </w:r>
          </w:p>
        </w:tc>
        <w:tc>
          <w:tcPr/>
          <w:p>
            <w:pPr>
              <w:pStyle w:val="Compact"/>
              <w:jc w:val="left"/>
            </w:pPr>
            <w:r>
              <w:t xml:space="preserve">164,150</w:t>
            </w:r>
          </w:p>
        </w:tc>
      </w:tr>
      <w:tr>
        <w:tc>
          <w:tcPr>
            <w:gridSpan w:val="4"/>
          </w:tcPr>
          <w:p>
            <w:pPr>
              <w:pStyle w:val="Compact"/>
              <w:jc w:val="right"/>
            </w:pPr>
            <w:r>
              <w:t xml:space="preserve">TOTAL QUOTATION ESTIMATE</w:t>
            </w:r>
          </w:p>
        </w:tc>
        <w:tc>
          <w:tcPr/>
          <w:p>
            <w:pPr>
              <w:pStyle w:val="Compact"/>
              <w:jc w:val="left"/>
            </w:pPr>
            <w:r>
              <w:t xml:space="preserve">2,509,150</w:t>
            </w:r>
          </w:p>
        </w:tc>
      </w:tr>
    </w:tbl>
    <w:p>
      <w:pPr>
        <w:pStyle w:val="BodyText"/>
      </w:pPr>
      <w:r>
        <w:t xml:space="preserve">3. Payment Schedule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(THB)</w:t>
            </w:r>
          </w:p>
        </w:tc>
      </w:tr>
      <w:tr>
        <w:tc>
          <w:tcPr/>
          <w:p>
            <w:pPr>
              <w:pStyle w:val="Compact"/>
              <w:jc w:val="left"/>
            </w:pPr>
            <w:r>
              <w:t xml:space="preserve">Upon signing of this Quotation Estimate and service agreement</w:t>
            </w:r>
          </w:p>
        </w:tc>
        <w:tc>
          <w:tcPr/>
          <w:p>
            <w:pPr>
              <w:pStyle w:val="Compact"/>
              <w:jc w:val="left"/>
            </w:pPr>
            <w:r>
              <w:t xml:space="preserve">20%</w:t>
            </w:r>
          </w:p>
        </w:tc>
        <w:tc>
          <w:tcPr/>
          <w:p>
            <w:pPr>
              <w:pStyle w:val="Compact"/>
              <w:jc w:val="left"/>
            </w:pPr>
            <w:r>
              <w:t xml:space="preserve">501,830</w:t>
            </w:r>
          </w:p>
        </w:tc>
      </w:tr>
      <w:tr>
        <w:tc>
          <w:tcPr/>
          <w:p>
            <w:pPr>
              <w:pStyle w:val="Compact"/>
              <w:jc w:val="left"/>
            </w:pPr>
            <w:r>
              <w:t xml:space="preserve">Upon approval of Concept Design</w:t>
            </w:r>
          </w:p>
        </w:tc>
        <w:tc>
          <w:tcPr/>
          <w:p>
            <w:pPr>
              <w:pStyle w:val="Compact"/>
              <w:jc w:val="left"/>
            </w:pPr>
            <w:r>
              <w:t xml:space="preserve">20%</w:t>
            </w:r>
          </w:p>
        </w:tc>
        <w:tc>
          <w:tcPr/>
          <w:p>
            <w:pPr>
              <w:pStyle w:val="Compact"/>
              <w:jc w:val="left"/>
            </w:pPr>
            <w:r>
              <w:t xml:space="preserve">501,830</w:t>
            </w:r>
          </w:p>
        </w:tc>
      </w:tr>
      <w:tr>
        <w:tc>
          <w:tcPr/>
          <w:p>
            <w:pPr>
              <w:pStyle w:val="Compact"/>
              <w:jc w:val="left"/>
            </w:pPr>
            <w:r>
              <w:t xml:space="preserve">Upon submission of full construction drawings to BMA</w:t>
            </w:r>
          </w:p>
        </w:tc>
        <w:tc>
          <w:tcPr/>
          <w:p>
            <w:pPr>
              <w:pStyle w:val="Compact"/>
              <w:jc w:val="left"/>
            </w:pPr>
            <w:r>
              <w:t xml:space="preserve">25%</w:t>
            </w:r>
          </w:p>
        </w:tc>
        <w:tc>
          <w:tcPr/>
          <w:p>
            <w:pPr>
              <w:pStyle w:val="Compact"/>
              <w:jc w:val="left"/>
            </w:pPr>
            <w:r>
              <w:t xml:space="preserve">627,288</w:t>
            </w:r>
          </w:p>
        </w:tc>
      </w:tr>
      <w:tr>
        <w:tc>
          <w:tcPr/>
          <w:p>
            <w:pPr>
              <w:pStyle w:val="Compact"/>
              <w:jc w:val="left"/>
            </w:pPr>
            <w:r>
              <w:t xml:space="preserve">Monthly during construction supervision (12 installments)</w:t>
            </w:r>
          </w:p>
        </w:tc>
        <w:tc>
          <w:tcPr/>
          <w:p>
            <w:pPr>
              <w:pStyle w:val="Compact"/>
              <w:jc w:val="left"/>
            </w:pPr>
            <w:r>
              <w:t xml:space="preserve">25%</w:t>
            </w:r>
          </w:p>
        </w:tc>
        <w:tc>
          <w:tcPr/>
          <w:p>
            <w:pPr>
              <w:pStyle w:val="Compact"/>
              <w:jc w:val="left"/>
            </w:pPr>
            <w:r>
              <w:t xml:space="preserve">627,288</w:t>
            </w:r>
          </w:p>
        </w:tc>
      </w:tr>
      <w:tr>
        <w:tc>
          <w:tcPr/>
          <w:p>
            <w:pPr>
              <w:pStyle w:val="Compact"/>
              <w:jc w:val="left"/>
            </w:pPr>
            <w:r>
              <w:t xml:space="preserve">Upon project completion and handover</w:t>
            </w:r>
          </w:p>
        </w:tc>
        <w:tc>
          <w:tcPr/>
          <w:p>
            <w:pPr>
              <w:pStyle w:val="Compact"/>
              <w:jc w:val="left"/>
            </w:pPr>
            <w:r>
              <w:t xml:space="preserve">10%</w:t>
            </w:r>
          </w:p>
        </w:tc>
        <w:tc>
          <w:tcPr/>
          <w:p>
            <w:pPr>
              <w:pStyle w:val="Compact"/>
              <w:jc w:val="left"/>
            </w:pPr>
            <w:r>
              <w:t xml:space="preserve">250,914</w:t>
            </w:r>
          </w:p>
        </w:tc>
      </w:tr>
    </w:tbl>
    <w:p>
      <w:pPr>
        <w:pStyle w:val="BodyText"/>
      </w:pPr>
      <w:r>
        <w:t xml:space="preserve">4. Terms and Conditions</w:t>
      </w:r>
    </w:p>
    <w:p>
      <w:pPr>
        <w:numPr>
          <w:ilvl w:val="0"/>
          <w:numId w:val="1001"/>
        </w:numPr>
        <w:pStyle w:val="Compact"/>
      </w:pPr>
      <w:r>
        <w:t xml:space="preserve">This Quotation Estimate is valid for thirty (30) calendar days from the date of issue. Any request for a revised Quotation Estimate after the expiry date shall be subject to re-evaluation of current Architect fee rates in Thailand Bangkok.</w:t>
      </w:r>
    </w:p>
    <w:p>
      <w:pPr>
        <w:numPr>
          <w:ilvl w:val="0"/>
          <w:numId w:val="1001"/>
        </w:numPr>
        <w:pStyle w:val="Compact"/>
      </w:pPr>
      <w:r>
        <w:t xml:space="preserve">All Architect services described herein shall be performed in accordance with the Thai Building Control Act B.E. 2522 (1979) and all applicable Bangkok Metropolitan Administration zoning ordinances.</w:t>
      </w:r>
    </w:p>
    <w:p>
      <w:pPr>
        <w:numPr>
          <w:ilvl w:val="0"/>
          <w:numId w:val="1001"/>
        </w:numPr>
        <w:pStyle w:val="Compact"/>
      </w:pPr>
      <w:r>
        <w:t xml:space="preserve">The Architect firm shall not be liable for delays caused by third-party contractors, government processing times at the BMA, or force majeure events including but not limited to flooding, which is a recognized risk in the Thailand Bangkok region.</w:t>
      </w:r>
    </w:p>
    <w:p>
      <w:pPr>
        <w:numPr>
          <w:ilvl w:val="0"/>
          <w:numId w:val="1001"/>
        </w:numPr>
        <w:pStyle w:val="Compact"/>
      </w:pPr>
      <w:r>
        <w:t xml:space="preserve">Any additional design revisions beyond the three (3) included rounds per phase shall be billed at a rate of THB 3,500 per hour for the lead Architect and THB 1,800 per hour for supporting design staff.</w:t>
      </w:r>
    </w:p>
    <w:p>
      <w:pPr>
        <w:numPr>
          <w:ilvl w:val="0"/>
          <w:numId w:val="1001"/>
        </w:numPr>
        <w:pStyle w:val="Compact"/>
      </w:pPr>
      <w:r>
        <w:t xml:space="preserve">Payment terms are net fifteen (15) days from the date of each invoice. Late payments shall accrue interest at 1.5% per month as stipulated under Thai commercial law.</w:t>
      </w:r>
    </w:p>
    <w:p>
      <w:pPr>
        <w:numPr>
          <w:ilvl w:val="0"/>
          <w:numId w:val="1001"/>
        </w:numPr>
        <w:pStyle w:val="Compact"/>
      </w:pPr>
      <w:r>
        <w:t xml:space="preserve">All intellectual property, drawings, and design documents produced under this Quotation Estimate shall remain the property of the Architect firm until full payment has been received. Upon final settlement, the client shall receive a perpetual, non-exclusive license to use the designs for the specific project in Thailand Bangkok.</w:t>
      </w:r>
    </w:p>
    <w:p>
      <w:pPr>
        <w:numPr>
          <w:ilvl w:val="0"/>
          <w:numId w:val="1001"/>
        </w:numPr>
        <w:pStyle w:val="Compact"/>
      </w:pPr>
      <w:r>
        <w:t xml:space="preserve">This Quotation Estimate does not include costs for soil testing, environmental impact assessments, or specialized engineering studies, which shall be quoted separately upon request.</w:t>
      </w:r>
    </w:p>
    <w:p>
      <w:pPr>
        <w:numPr>
          <w:ilvl w:val="0"/>
          <w:numId w:val="1001"/>
        </w:numPr>
        <w:pStyle w:val="Compact"/>
      </w:pPr>
      <w:r>
        <w:t xml:space="preserve">Disputes arising from this Quotation Estimate shall be resolved through mediation under the Thai Arbitration Institute before any litigation in the Bangkok courts.</w:t>
      </w:r>
    </w:p>
    <w:p>
      <w:pPr>
        <w:pStyle w:val="FirstParagraph"/>
      </w:pPr>
      <w:r>
        <w:t xml:space="preserve">5. Acceptance and Authorization</w:t>
      </w:r>
    </w:p>
    <w:p>
      <w:pPr>
        <w:pStyle w:val="BodyText"/>
      </w:pPr>
      <w:r>
        <w:t xml:space="preserve">By signing below, both parties acknowledge and agree to the terms, scope, and financial obligations outlined in this Quotation Estimate for Architect services in Thailand Bangkok. This document, once countersigned, constitutes a binding service agreement between the Architect firm and the Client.</w:t>
      </w:r>
    </w:p>
    <w:p>
      <w:pPr>
        <w:pStyle w:val="BodyText"/>
      </w:pPr>
      <w:r>
        <w:rPr>
          <w:bCs/>
          <w:b/>
        </w:rPr>
        <w:t xml:space="preserve">For: Chulalongkorn Architectural Design Studio Co., Ltd.</w:t>
      </w:r>
    </w:p>
    <w:p>
      <w:pPr>
        <w:pStyle w:val="BodyText"/>
      </w:pPr>
      <w:r>
        <w:t xml:space="preserve">Lead Architect &amp; Managing Director</w:t>
      </w:r>
    </w:p>
    <w:p>
      <w:pPr>
        <w:pStyle w:val="BodyText"/>
      </w:pPr>
      <w:r>
        <w:t xml:space="preserve">Arch. Nattapong Siriwat, R.A.</w:t>
      </w:r>
    </w:p>
    <w:p>
      <w:pPr>
        <w:pStyle w:val="BodyText"/>
      </w:pPr>
      <w:r>
        <w:t xml:space="preserve">License No: TH-ARC-2019-004521</w:t>
      </w:r>
    </w:p>
    <w:p>
      <w:pPr>
        <w:pStyle w:val="BodyText"/>
      </w:pPr>
      <w:r>
        <w:t xml:space="preserve">Date: _______________</w:t>
      </w:r>
    </w:p>
    <w:p>
      <w:pPr>
        <w:pStyle w:val="BodyText"/>
      </w:pPr>
      <w:r>
        <w:rPr>
          <w:bCs/>
          <w:b/>
        </w:rPr>
        <w:t xml:space="preserve">For: Client / Project Owner</w:t>
      </w:r>
    </w:p>
    <w:p>
      <w:pPr>
        <w:pStyle w:val="BodyText"/>
      </w:pPr>
      <w:r>
        <w:t xml:space="preserve">Authorized Signatory</w:t>
      </w:r>
    </w:p>
    <w:p>
      <w:pPr>
        <w:pStyle w:val="BodyText"/>
      </w:pPr>
      <w:r>
        <w:t xml:space="preserve">Mr. Somchai Prasert</w:t>
      </w:r>
    </w:p>
    <w:p>
      <w:pPr>
        <w:pStyle w:val="BodyText"/>
      </w:pPr>
      <w:r>
        <w:t xml:space="preserve">ID No: 7-1009-XXXXX-XX-X</w:t>
      </w:r>
    </w:p>
    <w:p>
      <w:pPr>
        <w:pStyle w:val="BodyText"/>
      </w:pPr>
      <w:r>
        <w:t xml:space="preserve">Date: _______________</w:t>
      </w:r>
    </w:p>
    <w:p>
      <w:pPr>
        <w:pStyle w:val="BodyText"/>
      </w:pPr>
      <w:r>
        <w:rPr>
          <w:bCs/>
          <w:b/>
        </w:rPr>
        <w:t xml:space="preserve">Important Notice:</w:t>
      </w:r>
      <w:r>
        <w:t xml:space="preserve"> </w:t>
      </w:r>
      <w:r>
        <w:t xml:space="preserve">This Quotation Estimate is prepared exclusively for the project located in Thailand Bangkok as described herein. It is not transferable to any other site, jurisdiction, or project scope. All fees are quoted in Thai Baht (THB) and are subject to the prevailing VAT rate as determined by the Thai Department of Revenue. The Architect firm reserves the right to adjust rates should the project timeline extend beyond eighteen (18) months from the date of commencement. For inquiries regarding this Quotation Estimate, please contact our office at +66 (0) 2 255 8800 or estimates@chulaarch-bkk.co.th during business hours (Monday to Friday, 09:00–17:30 ICT).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Architect Services - Thailand Bangkok</dc:title>
  <dc:creator/>
  <dc:language>en</dc:language>
  <cp:keywords/>
  <dcterms:created xsi:type="dcterms:W3CDTF">2026-10-10T08:33:43Z</dcterms:created>
  <dcterms:modified xsi:type="dcterms:W3CDTF">2026-10-10T08:33:43Z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