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meridian-architectural-design-studio"/>
    <w:p>
      <w:pPr>
        <w:pStyle w:val="Heading1"/>
      </w:pPr>
      <w:r>
        <w:t xml:space="preserve">Meridian Architectural Design Studio</w:t>
      </w:r>
    </w:p>
    <w:p>
      <w:pPr>
        <w:pStyle w:val="FirstParagraph"/>
      </w:pPr>
      <w:r>
        <w:t xml:space="preserve">Professional Architect Services | Kızılay Avenue, No. 142, Çankaya, 06420 Ankara, Turkey</w:t>
      </w:r>
    </w:p>
    <w:p>
      <w:pPr>
        <w:pStyle w:val="BodyText"/>
      </w:pPr>
      <w:r>
        <w:t xml:space="preserve">Tel: +90 (312) 445 6789 | Email: info@meridianarch.com.tr | Tax ID: 1234567890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QTE-ANK-2025-0347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Ankara, Turkey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Address], Ankara, Turkey</w:t>
      </w:r>
    </w:p>
    <w:p>
      <w:pPr>
        <w:pStyle w:val="BodyText"/>
      </w:pPr>
      <w:r>
        <w:rPr>
          <w:bCs/>
          <w:b/>
        </w:rPr>
        <w:t xml:space="preserve">Contact:</w:t>
      </w:r>
      <w:r>
        <w:t xml:space="preserve"> </w:t>
      </w:r>
      <w:r>
        <w:t xml:space="preserve">[Phone / Email]</w:t>
      </w:r>
    </w:p>
    <w:p>
      <w:pPr>
        <w:pStyle w:val="BodyText"/>
      </w:pPr>
      <w:r>
        <w:rPr>
          <w:bCs/>
          <w:b/>
        </w:rPr>
        <w:t xml:space="preserve">Project Reference:</w:t>
      </w:r>
      <w:r>
        <w:t xml:space="preserve"> </w:t>
      </w:r>
      <w:r>
        <w:t xml:space="preserve">RES-ANK-2025-012</w:t>
      </w:r>
    </w:p>
    <w:bookmarkEnd w:id="22"/>
    <w:bookmarkStart w:id="23" w:name="Xeabdd4fcfad4ae799b558591087356f87b990d8"/>
    <w:p>
      <w:pPr>
        <w:pStyle w:val="Heading2"/>
      </w:pPr>
      <w:r>
        <w:t xml:space="preserve">1. Project Overview and Scope of Architect Services</w:t>
      </w:r>
    </w:p>
    <w:p>
      <w:pPr>
        <w:pStyle w:val="FirstParagraph"/>
      </w:pPr>
      <w:r>
        <w:t xml:space="preserve">This Quotation Estimate is issued by Meridian Architectural Design Studio, a licensed and registered Architect firm operating in Ankara, Turkey, in accordance with the regulations of the Chamber of Architects of Turkey (TMMOB Mimarlar Odası). The scope of work described herein pertains to the full architectural design, planning, and documentation services required for the proposed residential and commercial mixed-use development located in the Çankaya district of Ankara, Turkey. The Architect services encompass all phases from initial concept development through to construction supervision, ensuring full compliance with the Ankara Metropolitan Municipality (Ankara Büyükşehir Belediyesi) zoning regulations, the Turkish Building Law (Bina Yasası No. 3194), and all applicable national and municipal building codes.</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Architect Service Description</w:t>
            </w:r>
          </w:p>
        </w:tc>
        <w:tc>
          <w:tcPr/>
          <w:p>
            <w:pPr>
              <w:pStyle w:val="Compact"/>
              <w:jc w:val="left"/>
            </w:pPr>
            <w:r>
              <w:t xml:space="preserve">Phase / Duration</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Feasibility Study and Site Analysis for the Ankara plot, including topographic survey review, zoning verification with Ankara Metropolitan Municipality, and preliminary massing studies</w:t>
            </w:r>
          </w:p>
        </w:tc>
        <w:tc>
          <w:tcPr/>
          <w:p>
            <w:pPr>
              <w:pStyle w:val="Compact"/>
              <w:jc w:val="left"/>
            </w:pPr>
            <w:r>
              <w:t xml:space="preserve">Phase I – 3 weeks</w:t>
            </w:r>
          </w:p>
        </w:tc>
        <w:tc>
          <w:tcPr/>
          <w:p>
            <w:pPr>
              <w:pStyle w:val="Compact"/>
              <w:jc w:val="left"/>
            </w:pPr>
            <w:r>
              <w:t xml:space="preserve">Lump Sum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Concept Design Development: Architectural concept drawings, 3D massing models, material palette selection, and two (2) design presentation sessions with the client in our Ankara office</w:t>
            </w:r>
          </w:p>
        </w:tc>
        <w:tc>
          <w:tcPr/>
          <w:p>
            <w:pPr>
              <w:pStyle w:val="Compact"/>
              <w:jc w:val="left"/>
            </w:pPr>
            <w:r>
              <w:t xml:space="preserve">Phase II – 5 weeks</w:t>
            </w:r>
          </w:p>
        </w:tc>
        <w:tc>
          <w:tcPr/>
          <w:p>
            <w:pPr>
              <w:pStyle w:val="Compact"/>
              <w:jc w:val="left"/>
            </w:pPr>
            <w:r>
              <w:t xml:space="preserve">Lump Sum</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Scheme Design and Preliminary Documentation: Detailed architectural floor plans, elevations, sections, and structural coordination drawings prepared in accordance with Turkish building standards (TS 500, TS 498)</w:t>
            </w:r>
          </w:p>
        </w:tc>
        <w:tc>
          <w:tcPr/>
          <w:p>
            <w:pPr>
              <w:pStyle w:val="Compact"/>
              <w:jc w:val="left"/>
            </w:pPr>
            <w:r>
              <w:t xml:space="preserve">Phase III – 6 weeks</w:t>
            </w:r>
          </w:p>
        </w:tc>
        <w:tc>
          <w:tcPr/>
          <w:p>
            <w:pPr>
              <w:pStyle w:val="Compact"/>
              <w:jc w:val="left"/>
            </w:pPr>
            <w:r>
              <w:t xml:space="preserve">Lump Sum</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Construction Documentation and Permit Package: Full set of construction drawings, specifications, and the complete building permit application dossier submitted to the Ankara District Municipality (İlçe Belediyesi) for approval</w:t>
            </w:r>
          </w:p>
        </w:tc>
        <w:tc>
          <w:tcPr/>
          <w:p>
            <w:pPr>
              <w:pStyle w:val="Compact"/>
              <w:jc w:val="left"/>
            </w:pPr>
            <w:r>
              <w:t xml:space="preserve">Phase IV – 8 weeks</w:t>
            </w:r>
          </w:p>
        </w:tc>
        <w:tc>
          <w:tcPr/>
          <w:p>
            <w:pPr>
              <w:pStyle w:val="Compact"/>
              <w:jc w:val="left"/>
            </w:pPr>
            <w:r>
              <w:t xml:space="preserve">Lump Sum</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Interior Architect Design: Interior layout planning, furniture and fixture schedules, lighting design coordination, and interior finish schedules for all residential and commercial units</w:t>
            </w:r>
          </w:p>
        </w:tc>
        <w:tc>
          <w:tcPr/>
          <w:p>
            <w:pPr>
              <w:pStyle w:val="Compact"/>
              <w:jc w:val="left"/>
            </w:pPr>
            <w:r>
              <w:t xml:space="preserve">Phase V – 5 weeks</w:t>
            </w:r>
          </w:p>
        </w:tc>
        <w:tc>
          <w:tcPr/>
          <w:p>
            <w:pPr>
              <w:pStyle w:val="Compact"/>
              <w:jc w:val="left"/>
            </w:pPr>
            <w:r>
              <w:t xml:space="preserve">Lump Sum</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Landscape and External Works Design: Site grading plan, hardscape and softscape design, parking layout, and pedestrian circulation planning compliant with Ankara urban planning regulations</w:t>
            </w:r>
          </w:p>
        </w:tc>
        <w:tc>
          <w:tcPr/>
          <w:p>
            <w:pPr>
              <w:pStyle w:val="Compact"/>
              <w:jc w:val="left"/>
            </w:pPr>
            <w:r>
              <w:t xml:space="preserve">Phase V – 4 weeks</w:t>
            </w:r>
          </w:p>
        </w:tc>
        <w:tc>
          <w:tcPr/>
          <w:p>
            <w:pPr>
              <w:pStyle w:val="Compact"/>
              <w:jc w:val="left"/>
            </w:pPr>
            <w:r>
              <w:t xml:space="preserve">Lump Sum</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7</w:t>
            </w:r>
          </w:p>
        </w:tc>
        <w:tc>
          <w:tcPr/>
          <w:p>
            <w:pPr>
              <w:pStyle w:val="Compact"/>
              <w:jc w:val="left"/>
            </w:pPr>
            <w:r>
              <w:t xml:space="preserve">Construction Supervision and Site Visits: Monthly site inspections (minimum 12 visits) during the construction period, progress reports, and coordination meetings with the main contractor and subcontractors in Ankara</w:t>
            </w:r>
          </w:p>
        </w:tc>
        <w:tc>
          <w:tcPr/>
          <w:p>
            <w:pPr>
              <w:pStyle w:val="Compact"/>
              <w:jc w:val="left"/>
            </w:pPr>
            <w:r>
              <w:t xml:space="preserve">Phase VI – 12 months</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8</w:t>
            </w:r>
          </w:p>
        </w:tc>
        <w:tc>
          <w:tcPr/>
          <w:p>
            <w:pPr>
              <w:pStyle w:val="Compact"/>
              <w:jc w:val="left"/>
            </w:pPr>
            <w:r>
              <w:t xml:space="preserve">As-Built Documentation and Handover: Final as-built drawings, operation and maintenance manuals, and completion certification for the Ankara project</w:t>
            </w:r>
          </w:p>
        </w:tc>
        <w:tc>
          <w:tcPr/>
          <w:p>
            <w:pPr>
              <w:pStyle w:val="Compact"/>
              <w:jc w:val="left"/>
            </w:pPr>
            <w:r>
              <w:t xml:space="preserve">Phase VII – 3 weeks</w:t>
            </w:r>
          </w:p>
        </w:tc>
        <w:tc>
          <w:tcPr/>
          <w:p>
            <w:pPr>
              <w:pStyle w:val="Compact"/>
              <w:jc w:val="left"/>
            </w:pPr>
            <w:r>
              <w:t xml:space="preserve">Lump Sum</w:t>
            </w:r>
          </w:p>
        </w:tc>
        <w:tc>
          <w:tcPr/>
          <w:p>
            <w:pPr>
              <w:pStyle w:val="Compact"/>
              <w:jc w:val="left"/>
            </w:pPr>
            <w:r>
              <w:t xml:space="preserve">175,000</w:t>
            </w:r>
          </w:p>
        </w:tc>
        <w:tc>
          <w:tcPr/>
          <w:p>
            <w:pPr>
              <w:pStyle w:val="Compact"/>
              <w:jc w:val="left"/>
            </w:pPr>
            <w:r>
              <w:t xml:space="preserve">175,000</w:t>
            </w:r>
          </w:p>
        </w:tc>
      </w:tr>
      <w:tr>
        <w:tc>
          <w:tcPr>
            <w:gridSpan w:val="5"/>
          </w:tcPr>
          <w:p>
            <w:pPr>
              <w:pStyle w:val="Compact"/>
              <w:jc w:val="right"/>
            </w:pPr>
            <w:r>
              <w:t xml:space="preserve">SUBTOTAL (TRY)</w:t>
            </w:r>
          </w:p>
        </w:tc>
        <w:tc>
          <w:tcPr/>
          <w:p>
            <w:pPr>
              <w:pStyle w:val="Compact"/>
              <w:jc w:val="left"/>
            </w:pPr>
            <w:r>
              <w:t xml:space="preserve">4,380,000</w:t>
            </w:r>
          </w:p>
        </w:tc>
      </w:tr>
      <w:tr>
        <w:tc>
          <w:tcPr>
            <w:gridSpan w:val="5"/>
          </w:tcPr>
          <w:p>
            <w:pPr>
              <w:pStyle w:val="Compact"/>
              <w:jc w:val="right"/>
            </w:pPr>
            <w:r>
              <w:t xml:space="preserve">VAT (KDV) – 20%</w:t>
            </w:r>
          </w:p>
        </w:tc>
        <w:tc>
          <w:tcPr/>
          <w:p>
            <w:pPr>
              <w:pStyle w:val="Compact"/>
              <w:jc w:val="left"/>
            </w:pPr>
            <w:r>
              <w:t xml:space="preserve">876,000</w:t>
            </w:r>
          </w:p>
        </w:tc>
      </w:tr>
      <w:tr>
        <w:tc>
          <w:tcPr>
            <w:gridSpan w:val="5"/>
          </w:tcPr>
          <w:p>
            <w:pPr>
              <w:pStyle w:val="Compact"/>
              <w:jc w:val="right"/>
            </w:pPr>
            <w:r>
              <w:t xml:space="preserve">GRAND TOTAL (TRY)</w:t>
            </w:r>
          </w:p>
        </w:tc>
        <w:tc>
          <w:tcPr/>
          <w:p>
            <w:pPr>
              <w:pStyle w:val="Compact"/>
              <w:jc w:val="left"/>
            </w:pPr>
            <w:r>
              <w:t xml:space="preserve">5,256,000</w:t>
            </w:r>
          </w:p>
        </w:tc>
      </w:tr>
    </w:tbl>
    <w:bookmarkEnd w:id="24"/>
    <w:bookmarkStart w:id="25" w:name="payment-schedule"/>
    <w:p>
      <w:pPr>
        <w:pStyle w:val="Heading2"/>
      </w:pPr>
      <w:r>
        <w:t xml:space="preserve">3. Payment Schedule</w:t>
      </w:r>
    </w:p>
    <w:p>
      <w:pPr>
        <w:pStyle w:val="FirstParagraph"/>
      </w:pPr>
      <w:r>
        <w:t xml:space="preserve">This Quotation Estimate proposes the following payment milestones, payable within fifteen (15) business days of invoice issuance:</w:t>
      </w:r>
    </w:p>
    <w:p>
      <w:pPr>
        <w:numPr>
          <w:ilvl w:val="0"/>
          <w:numId w:val="1001"/>
        </w:numPr>
        <w:pStyle w:val="Compact"/>
      </w:pPr>
      <w:r>
        <w:rPr>
          <w:bCs/>
          <w:b/>
        </w:rPr>
        <w:t xml:space="preserve">20%</w:t>
      </w:r>
      <w:r>
        <w:t xml:space="preserve"> </w:t>
      </w:r>
      <w:r>
        <w:t xml:space="preserve">upon signing of the Architect Services Agreement and commencement of Phase I;</w:t>
      </w:r>
    </w:p>
    <w:p>
      <w:pPr>
        <w:numPr>
          <w:ilvl w:val="0"/>
          <w:numId w:val="1001"/>
        </w:numPr>
        <w:pStyle w:val="Compact"/>
      </w:pPr>
      <w:r>
        <w:rPr>
          <w:bCs/>
          <w:b/>
        </w:rPr>
        <w:t xml:space="preserve">25%</w:t>
      </w:r>
      <w:r>
        <w:t xml:space="preserve"> </w:t>
      </w:r>
      <w:r>
        <w:t xml:space="preserve">upon approval of the Concept Design (Phase II completion);</w:t>
      </w:r>
    </w:p>
    <w:p>
      <w:pPr>
        <w:numPr>
          <w:ilvl w:val="0"/>
          <w:numId w:val="1001"/>
        </w:numPr>
        <w:pStyle w:val="Compact"/>
      </w:pPr>
      <w:r>
        <w:rPr>
          <w:bCs/>
          <w:b/>
        </w:rPr>
        <w:t xml:space="preserve">25%</w:t>
      </w:r>
      <w:r>
        <w:t xml:space="preserve"> </w:t>
      </w:r>
      <w:r>
        <w:t xml:space="preserve">upon submission of the Construction Permit Package to the Ankara Municipality (Phase IV completion);</w:t>
      </w:r>
    </w:p>
    <w:p>
      <w:pPr>
        <w:numPr>
          <w:ilvl w:val="0"/>
          <w:numId w:val="1001"/>
        </w:numPr>
        <w:pStyle w:val="Compact"/>
      </w:pPr>
      <w:r>
        <w:rPr>
          <w:bCs/>
          <w:b/>
        </w:rPr>
        <w:t xml:space="preserve">20%</w:t>
      </w:r>
      <w:r>
        <w:t xml:space="preserve"> </w:t>
      </w:r>
      <w:r>
        <w:t xml:space="preserve">distributed monthly during the Construction Supervision phase (Phase VI);</w:t>
      </w:r>
    </w:p>
    <w:p>
      <w:pPr>
        <w:numPr>
          <w:ilvl w:val="0"/>
          <w:numId w:val="1001"/>
        </w:numPr>
        <w:pStyle w:val="Compact"/>
      </w:pPr>
      <w:r>
        <w:rPr>
          <w:bCs/>
          <w:b/>
        </w:rPr>
        <w:t xml:space="preserve">10%</w:t>
      </w:r>
      <w:r>
        <w:t xml:space="preserve"> </w:t>
      </w:r>
      <w:r>
        <w:t xml:space="preserve">upon delivery of the As-Built Documentation and project handover (Phase VII completion).</w:t>
      </w:r>
    </w:p>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issue. After the expiry date, the Architect firm reserves the right to revise pricing due to market fluctuations in Ankara, Turkey.</w:t>
      </w:r>
    </w:p>
    <w:p>
      <w:pPr>
        <w:numPr>
          <w:ilvl w:val="0"/>
          <w:numId w:val="1002"/>
        </w:numPr>
        <w:pStyle w:val="Compact"/>
      </w:pPr>
      <w:r>
        <w:t xml:space="preserve">All prices are quoted in Turkish Lira (TRY) and are inclusive of the Architect firm's professional fees, software licensing, and internal project management. They are exclusive of third-party costs such as geotechnical surveys, environmental impact assessments, and municipal permit fees levied by the Ankara authorities.</w:t>
      </w:r>
    </w:p>
    <w:p>
      <w:pPr>
        <w:numPr>
          <w:ilvl w:val="0"/>
          <w:numId w:val="1002"/>
        </w:numPr>
        <w:pStyle w:val="Compact"/>
      </w:pPr>
      <w:r>
        <w:t xml:space="preserve">The Architect services shall be performed in strict compliance with the Turkish Building Law, the Ankara Metropolitan Municipality Zoning Plan (İmar Planı), and the professional code of ethics of the Chamber of Architects of Turkey.</w:t>
      </w:r>
    </w:p>
    <w:p>
      <w:pPr>
        <w:numPr>
          <w:ilvl w:val="0"/>
          <w:numId w:val="1002"/>
        </w:numPr>
        <w:pStyle w:val="Compact"/>
      </w:pPr>
      <w:r>
        <w:t xml:space="preserve">Any changes to the project scope, site conditions, or regulatory requirements in Ankara, Turkey, that were not foreseen at the time of this Quotation Estimate shall be subject to a separate variation order and additional Quotation Estimate.</w:t>
      </w:r>
    </w:p>
    <w:p>
      <w:pPr>
        <w:numPr>
          <w:ilvl w:val="0"/>
          <w:numId w:val="1002"/>
        </w:numPr>
        <w:pStyle w:val="Compact"/>
      </w:pPr>
      <w:r>
        <w:t xml:space="preserve">The Architect firm shall carry professional indemnity insurance with a minimum coverage of TRY 10,000,000, valid throughout the duration of the project in Ankara.</w:t>
      </w:r>
    </w:p>
    <w:p>
      <w:pPr>
        <w:numPr>
          <w:ilvl w:val="0"/>
          <w:numId w:val="1002"/>
        </w:numPr>
        <w:pStyle w:val="Compact"/>
      </w:pPr>
      <w:r>
        <w:t xml:space="preserve">Intellectual property of all design documents, drawings, and 3D models produced under this Quotation Estimate shall remain with the Architect firm until full payment is received. Upon full settlement, the client shall receive a non-exclusive license to use the documents for the specific project in Ankara, Turkey.</w:t>
      </w:r>
    </w:p>
    <w:p>
      <w:pPr>
        <w:numPr>
          <w:ilvl w:val="0"/>
          <w:numId w:val="1002"/>
        </w:numPr>
        <w:pStyle w:val="Compact"/>
      </w:pPr>
      <w:r>
        <w:t xml:space="preserve">Disputes arising from this Quotation Estimate or the subsequent Architect Services Agreement shall be resolved by the Ankara Arbitration Centre (Ankara Tahkim Merkezi) in accordance with its rules.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Architect services in Ankara, Turkey, and agrees to the terms, conditions, and pricing outlined herein. This Quotation Estimate shall form the basis of the definitive Architect Services Agreement to be executed within ten (10) business days of acceptance.</w:t>
      </w:r>
    </w:p>
    <w:p>
      <w:pPr>
        <w:pStyle w:val="BodyText"/>
      </w:pPr>
      <w:r>
        <w:rPr>
          <w:bCs/>
          <w:b/>
        </w:rPr>
        <w:t xml:space="preserve">For Meridian Architectural Design Studio</w:t>
      </w:r>
      <w:r>
        <w:br/>
      </w:r>
      <w:r>
        <w:t xml:space="preserve">Lead Architect / Authorized Signatory</w:t>
      </w:r>
      <w:r>
        <w:br/>
      </w:r>
      <w:r>
        <w:t xml:space="preserve">Name: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Date: _________________________</w:t>
      </w:r>
    </w:p>
    <w:p>
      <w:pPr>
        <w:pStyle w:val="BodyText"/>
      </w:pPr>
      <w:r>
        <w:t xml:space="preserve">Meridian Architectural Design Studio | Kızılay Avenue, No. 142, Çankaya, 06420 Ankara, Turkey</w:t>
      </w:r>
    </w:p>
    <w:p>
      <w:pPr>
        <w:pStyle w:val="BodyText"/>
      </w:pPr>
      <w:r>
        <w:t xml:space="preserve">Quotation Estimate No. QTE-ANK-2025-0347 | This document is confidential and intended solely for the named client.</w:t>
      </w:r>
    </w:p>
    <w:p>
      <w:pPr>
        <w:pStyle w:val="BodyText"/>
      </w:pPr>
      <w:r>
        <w:t xml:space="preserve">Registered with the Chamber of Architects of Turkey (TMMOB Mimarlar Odası) – Ankara Branch | License No. ANK-2019-0456</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Turkey Ankara</dc:title>
  <dc:creator/>
  <dc:language>en</dc:language>
  <cp:keywords/>
  <dcterms:created xsi:type="dcterms:W3CDTF">2026-10-10T04:29:32Z</dcterms:created>
  <dcterms:modified xsi:type="dcterms:W3CDTF">2026-10-10T04:29:32Z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